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8A7EB" w14:textId="77777777" w:rsidR="00EB0CA6" w:rsidRDefault="00EB0CA6" w:rsidP="00EB0CA6">
      <w:pPr>
        <w:pStyle w:val="Title"/>
      </w:pPr>
      <w:r>
        <w:rPr>
          <w:noProof/>
        </w:rPr>
        <w:drawing>
          <wp:inline distT="0" distB="0" distL="0" distR="0" wp14:anchorId="0F22072C" wp14:editId="2779E3F3">
            <wp:extent cx="2839053" cy="1343025"/>
            <wp:effectExtent l="0" t="0" r="0" b="0"/>
            <wp:docPr id="4" name="Picture 4" descr="C:\Users\cwcallah\Dropbox\2015 FDA Regional Center Proposal\Project Folder\Logo and Branding\NECAFS Logo Color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wcallah\Dropbox\2015 FDA Regional Center Proposal\Project Folder\Logo and Branding\NECAFS Logo Color Wid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9492" cy="1347963"/>
                    </a:xfrm>
                    <a:prstGeom prst="rect">
                      <a:avLst/>
                    </a:prstGeom>
                    <a:noFill/>
                    <a:ln>
                      <a:noFill/>
                    </a:ln>
                  </pic:spPr>
                </pic:pic>
              </a:graphicData>
            </a:graphic>
          </wp:inline>
        </w:drawing>
      </w:r>
    </w:p>
    <w:p w14:paraId="3C5EC08E" w14:textId="77777777" w:rsidR="00EB0CA6" w:rsidRDefault="00EB0CA6" w:rsidP="00EB0CA6">
      <w:pPr>
        <w:pStyle w:val="Title"/>
      </w:pPr>
    </w:p>
    <w:p w14:paraId="1A0DEDCA" w14:textId="1944E946" w:rsidR="00EB0CA6" w:rsidRDefault="00EB0CA6" w:rsidP="00EB0CA6">
      <w:pPr>
        <w:pStyle w:val="Title"/>
      </w:pPr>
      <w:r>
        <w:t>Summary Evaluation Report</w:t>
      </w:r>
    </w:p>
    <w:p w14:paraId="23682EEF" w14:textId="682E9A19" w:rsidR="00EB0CA6" w:rsidRDefault="00EB0CA6" w:rsidP="00EB0CA6">
      <w:pPr>
        <w:pStyle w:val="Subtitle"/>
      </w:pPr>
      <w:r>
        <w:t xml:space="preserve">A Report from the Northeast Center to Advance Food Safety (NECAFS) Regarding Evaluation Conducted at NECAFS Annual Conference and Meeting.  </w:t>
      </w:r>
    </w:p>
    <w:p w14:paraId="6EDD446A" w14:textId="77777777" w:rsidR="00EB0CA6" w:rsidRDefault="00EB0CA6" w:rsidP="00EB0CA6">
      <w:pPr>
        <w:pStyle w:val="Subtitle"/>
      </w:pPr>
    </w:p>
    <w:p w14:paraId="39967C30" w14:textId="77777777" w:rsidR="00EB0CA6" w:rsidRDefault="00EB0CA6" w:rsidP="00EB0CA6">
      <w:pPr>
        <w:pStyle w:val="Subtitle"/>
      </w:pPr>
      <w:r>
        <w:t>Grant# 1R01FD005686</w:t>
      </w:r>
    </w:p>
    <w:p w14:paraId="5D2703A5" w14:textId="77777777" w:rsidR="00EB0CA6" w:rsidRDefault="00EB0CA6" w:rsidP="00EB0CA6">
      <w:pPr>
        <w:pStyle w:val="Subtitle"/>
      </w:pPr>
      <w:r>
        <w:t>Project Title: The Northeast Center to Advance Food Safety (NECAFS)</w:t>
      </w:r>
    </w:p>
    <w:p w14:paraId="3CC3B259" w14:textId="77777777" w:rsidR="00EB0CA6" w:rsidRPr="007E4F6E" w:rsidRDefault="00EB0CA6" w:rsidP="00EB0CA6">
      <w:pPr>
        <w:pStyle w:val="Subtitle"/>
      </w:pPr>
      <w:r>
        <w:t>Project Performance Period: 2/20/2016-2/28/2019</w:t>
      </w:r>
    </w:p>
    <w:p w14:paraId="558B12DC" w14:textId="4E3FE21B" w:rsidR="00EB0CA6" w:rsidRDefault="00EB0CA6" w:rsidP="00EB0CA6">
      <w:pPr>
        <w:pStyle w:val="Subtitle"/>
      </w:pPr>
      <w:r>
        <w:t>Evaluation Date: 1/23/2018-1/24/2018</w:t>
      </w:r>
    </w:p>
    <w:p w14:paraId="535F75FC" w14:textId="77777777" w:rsidR="00EB0CA6" w:rsidRPr="00582078" w:rsidRDefault="00EB0CA6" w:rsidP="00EB0CA6"/>
    <w:p w14:paraId="103E2C40" w14:textId="62498F18" w:rsidR="00EB0CA6" w:rsidRDefault="00EB0CA6" w:rsidP="00EB0CA6">
      <w:pPr>
        <w:pStyle w:val="Subtitle"/>
      </w:pPr>
      <w:r>
        <w:t>May 3, 2018</w:t>
      </w:r>
    </w:p>
    <w:p w14:paraId="3C3455B6" w14:textId="77777777" w:rsidR="00EB0CA6" w:rsidRDefault="00EB0CA6" w:rsidP="00EB0CA6">
      <w:pPr>
        <w:pStyle w:val="Subtitle"/>
      </w:pPr>
    </w:p>
    <w:p w14:paraId="3EC90561" w14:textId="77777777" w:rsidR="00EB0CA6" w:rsidRPr="00582078" w:rsidRDefault="00EB0CA6" w:rsidP="00EB0CA6"/>
    <w:p w14:paraId="40E0210C" w14:textId="77777777" w:rsidR="00EB0CA6" w:rsidRDefault="00EB0CA6" w:rsidP="00EB0CA6">
      <w:pPr>
        <w:pStyle w:val="Subtitle"/>
      </w:pPr>
      <w:r>
        <w:t>Christopher W. Callahan – UVM Extension, Project Director</w:t>
      </w:r>
    </w:p>
    <w:p w14:paraId="716095C9" w14:textId="77777777" w:rsidR="00EB0CA6" w:rsidRDefault="00EB0CA6" w:rsidP="00EB0CA6">
      <w:pPr>
        <w:pStyle w:val="Subtitle"/>
      </w:pPr>
      <w:r>
        <w:t>Elizabeth J. Newbold – UVM Extension, Center Administrator</w:t>
      </w:r>
    </w:p>
    <w:p w14:paraId="215F245A" w14:textId="77777777" w:rsidR="00EB0CA6" w:rsidRDefault="00EB0CA6" w:rsidP="00EB0CA6">
      <w:pPr>
        <w:pStyle w:val="Subtitle"/>
      </w:pPr>
      <w:r>
        <w:t xml:space="preserve">Luke F. </w:t>
      </w:r>
      <w:proofErr w:type="spellStart"/>
      <w:r>
        <w:t>LaBorde</w:t>
      </w:r>
      <w:proofErr w:type="spellEnd"/>
      <w:r>
        <w:t xml:space="preserve"> – Pennsylvania State University, Co-Director</w:t>
      </w:r>
    </w:p>
    <w:p w14:paraId="5A024C90" w14:textId="77777777" w:rsidR="00EB0CA6" w:rsidRDefault="00EB0CA6" w:rsidP="00EB0CA6">
      <w:pPr>
        <w:pStyle w:val="Subtitle"/>
      </w:pPr>
      <w:r>
        <w:t>Amanda J. Kinchla – University of Massachusetts, Co-Director</w:t>
      </w:r>
    </w:p>
    <w:p w14:paraId="25400F2C" w14:textId="77777777" w:rsidR="00EB0CA6" w:rsidRDefault="00EB0CA6" w:rsidP="00EB0CA6">
      <w:pPr>
        <w:pStyle w:val="Subtitle"/>
      </w:pPr>
      <w:r>
        <w:t>Elizabeth A. Bihn – Cornell University, Co-Director</w:t>
      </w:r>
    </w:p>
    <w:p w14:paraId="2592E32D" w14:textId="77777777" w:rsidR="00EB0CA6" w:rsidRPr="007E4F6E" w:rsidRDefault="00EB0CA6" w:rsidP="00EB0CA6">
      <w:pPr>
        <w:pStyle w:val="Subtitle"/>
      </w:pPr>
      <w:r>
        <w:t>Christopher S. Walsh – University of Maryland, Co-Director</w:t>
      </w:r>
    </w:p>
    <w:p w14:paraId="110FAFC2" w14:textId="76F99F75" w:rsidR="00EB0CA6" w:rsidRDefault="00EB0CA6"/>
    <w:p w14:paraId="61674243" w14:textId="23AA0895" w:rsidR="00EB0CA6" w:rsidRDefault="00EB0CA6"/>
    <w:p w14:paraId="4D180183" w14:textId="65D2371E" w:rsidR="00EB0CA6" w:rsidRDefault="00EB0CA6"/>
    <w:p w14:paraId="4C996D5D" w14:textId="77777777" w:rsidR="00EB0CA6" w:rsidRDefault="00EB0CA6"/>
    <w:p w14:paraId="262972AD" w14:textId="63ED0C60" w:rsidR="00EB0CA6" w:rsidRDefault="00EB0CA6">
      <w:r w:rsidRPr="00EB0CA6">
        <w:rPr>
          <w:sz w:val="32"/>
          <w:szCs w:val="32"/>
        </w:rPr>
        <w:lastRenderedPageBreak/>
        <w:t>Summary</w:t>
      </w:r>
    </w:p>
    <w:p w14:paraId="1D3055E8" w14:textId="37BE382B" w:rsidR="00F6105A" w:rsidRDefault="00F6105A" w:rsidP="00F6105A">
      <w:r>
        <w:t>Attendees at the NECAFS Annual Conference and Meeting overwhelming reported that they learned something new (95%), most notably about existing educational efforts.  This new knowledge leads attendees to feel more prepared and informed as trainers and/or researchers</w:t>
      </w:r>
      <w:r w:rsidR="00F35E1E">
        <w:t xml:space="preserve"> and because of</w:t>
      </w:r>
      <w:r>
        <w:t xml:space="preserve"> </w:t>
      </w:r>
      <w:r w:rsidR="00F35E1E">
        <w:t xml:space="preserve">this </w:t>
      </w:r>
      <w:r>
        <w:t xml:space="preserve">comfort in answering questions and passing along knowledge they will be more effective educators.  Additionally, the majority of attendees met someone new (98%) at the Annual Conference and Meeting and reported that this new relationship will allow for enhanced networking and improved communication.  The opportunity to network with partners across the region was often cited as one of greatest benefits of attending the Annual Conference and Meeting.  Attendees reported that there are food safety challenges in our region with the leading concern being implementation and compliance of FSMA.  The challenge arises because of the lack of guidance and resulting confusion around the rule, insufficient resource (financial and educational) to help growers and processors with technical assistance and implementation, and the need to tailor resources to meet the needs of small to mid-sized operations. </w:t>
      </w:r>
    </w:p>
    <w:p w14:paraId="625C7933" w14:textId="78E8EA56" w:rsidR="00F6105A" w:rsidRDefault="00F6105A" w:rsidP="00F6105A">
      <w:r>
        <w:t>Respondents reported that NECAFS has helped them improve their food safety training, education and/or outreach (92%) through facilitation of regional network</w:t>
      </w:r>
      <w:r w:rsidR="00F35E1E">
        <w:t>ing</w:t>
      </w:r>
      <w:r>
        <w:t xml:space="preserve"> and communication and the sharing of resources.  When asked about specific NECAFS activities (where 5 = excellent), 87% rated regional communication as 4 (41%) or 5 (46%), 90% rated building regional capacity, competence, and collaboration as 4 (45%) or 5 (45%), and 85% rated developing and delivering educational programs as 4 (44%) or 5 (41%).  </w:t>
      </w:r>
    </w:p>
    <w:p w14:paraId="1800B5DD" w14:textId="37B9E672" w:rsidR="00EB0CA6" w:rsidRPr="00F6105A" w:rsidRDefault="00F6105A">
      <w:pPr>
        <w:rPr>
          <w:sz w:val="32"/>
        </w:rPr>
      </w:pPr>
      <w:r w:rsidRPr="00F6105A">
        <w:rPr>
          <w:sz w:val="32"/>
        </w:rPr>
        <w:t>Discussion and Results</w:t>
      </w:r>
    </w:p>
    <w:p w14:paraId="7B05506C" w14:textId="38C1009D" w:rsidR="0090359E" w:rsidRDefault="0090359E">
      <w:r>
        <w:t>The Northeast Center to Advance Food Safety (NECAFS) held the 2</w:t>
      </w:r>
      <w:r w:rsidRPr="0090359E">
        <w:rPr>
          <w:vertAlign w:val="superscript"/>
        </w:rPr>
        <w:t>nd</w:t>
      </w:r>
      <w:r>
        <w:t xml:space="preserve"> Annual Conference and Meeting in Baltimore, MD January 23 – 24, 2018. Tuesday, January 23</w:t>
      </w:r>
      <w:r w:rsidRPr="00AA2593">
        <w:rPr>
          <w:vertAlign w:val="superscript"/>
        </w:rPr>
        <w:t>rd</w:t>
      </w:r>
      <w:r w:rsidR="00AA2593">
        <w:t xml:space="preserve"> </w:t>
      </w:r>
      <w:r>
        <w:t>focused</w:t>
      </w:r>
      <w:r w:rsidR="00AA2593">
        <w:t xml:space="preserve"> on workgroup </w:t>
      </w:r>
      <w:r>
        <w:t>meeting</w:t>
      </w:r>
      <w:r w:rsidR="00AA2593">
        <w:t>s</w:t>
      </w:r>
      <w:r>
        <w:t xml:space="preserve"> dedicated to Produce Safety and Preventive Controls for Human Food in two parallel tracks.  Wednesday</w:t>
      </w:r>
      <w:r w:rsidR="00AA2593">
        <w:t>, January 24</w:t>
      </w:r>
      <w:r w:rsidR="00AA2593" w:rsidRPr="00AA2593">
        <w:rPr>
          <w:vertAlign w:val="superscript"/>
        </w:rPr>
        <w:t>th</w:t>
      </w:r>
      <w:r w:rsidR="00AA2593">
        <w:t xml:space="preserve"> featured</w:t>
      </w:r>
      <w:r>
        <w:t xml:space="preserve"> a joint conference </w:t>
      </w:r>
      <w:r w:rsidR="00AA2593">
        <w:t xml:space="preserve">session that </w:t>
      </w:r>
      <w:r>
        <w:t>includ</w:t>
      </w:r>
      <w:r w:rsidR="00AA2593">
        <w:t>ed a keynote address from STOP Foodborne Illness, presentations</w:t>
      </w:r>
      <w:r>
        <w:t xml:space="preserve"> from </w:t>
      </w:r>
      <w:r w:rsidR="00E941F1">
        <w:t xml:space="preserve">representatives of </w:t>
      </w:r>
      <w:r>
        <w:t>each</w:t>
      </w:r>
      <w:r w:rsidR="00AA2593">
        <w:t xml:space="preserve"> Northeast</w:t>
      </w:r>
      <w:r w:rsidR="008E7E5E">
        <w:rPr>
          <w:rStyle w:val="FootnoteReference"/>
        </w:rPr>
        <w:footnoteReference w:id="1"/>
      </w:r>
      <w:r>
        <w:t xml:space="preserve"> state</w:t>
      </w:r>
      <w:r w:rsidR="00AA2593">
        <w:t xml:space="preserve"> providing</w:t>
      </w:r>
      <w:r>
        <w:t xml:space="preserve"> regulatory, research and extension</w:t>
      </w:r>
      <w:r w:rsidR="00AA2593">
        <w:t xml:space="preserve"> updates</w:t>
      </w:r>
      <w:r w:rsidR="00E941F1">
        <w:t>,</w:t>
      </w:r>
      <w:r>
        <w:t xml:space="preserve"> an</w:t>
      </w:r>
      <w:r w:rsidR="00AA2593">
        <w:t>d three panel sessions that highlighted</w:t>
      </w:r>
      <w:r>
        <w:t xml:space="preserve"> producers, processors and buyers.</w:t>
      </w:r>
      <w:r w:rsidR="006E362B">
        <w:t xml:space="preserve">  </w:t>
      </w:r>
    </w:p>
    <w:p w14:paraId="15EB3A32" w14:textId="777ED405" w:rsidR="006E362B" w:rsidRPr="0042499F" w:rsidRDefault="006E362B" w:rsidP="008E7E5E">
      <w:pPr>
        <w:pStyle w:val="CommentText"/>
        <w:rPr>
          <w:sz w:val="22"/>
          <w:szCs w:val="22"/>
        </w:rPr>
      </w:pPr>
      <w:r w:rsidRPr="0042499F">
        <w:rPr>
          <w:sz w:val="22"/>
          <w:szCs w:val="22"/>
        </w:rPr>
        <w:t xml:space="preserve">NECAFS distributed paper evaluations at the start of the joint conference session on Wednesday and asked attendees to complete and return at the end of day.  Approximately, 100 people attended.  </w:t>
      </w:r>
      <w:r w:rsidR="00E941F1" w:rsidRPr="0042499F">
        <w:rPr>
          <w:b/>
          <w:sz w:val="22"/>
          <w:szCs w:val="22"/>
        </w:rPr>
        <w:t xml:space="preserve">Table 1 </w:t>
      </w:r>
      <w:r w:rsidR="00E941F1" w:rsidRPr="0042499F">
        <w:rPr>
          <w:sz w:val="22"/>
          <w:szCs w:val="22"/>
        </w:rPr>
        <w:t>represents the roles in regional food safety selected by attendees</w:t>
      </w:r>
      <w:r w:rsidR="00EB0CA6">
        <w:rPr>
          <w:sz w:val="22"/>
          <w:szCs w:val="22"/>
        </w:rPr>
        <w:t xml:space="preserve"> that completed the evaluation</w:t>
      </w:r>
      <w:r w:rsidR="00E941F1" w:rsidRPr="0042499F">
        <w:rPr>
          <w:sz w:val="22"/>
          <w:szCs w:val="22"/>
        </w:rPr>
        <w:t>, illustrated as individual roles. However, 15 people selected that they have more than one role in regional food safety.</w:t>
      </w:r>
      <w:r w:rsidR="008E7E5E" w:rsidRPr="0042499F">
        <w:rPr>
          <w:sz w:val="22"/>
          <w:szCs w:val="22"/>
        </w:rPr>
        <w:t xml:space="preserve"> Total number of conference attendees who responded to the evaluation is therefore lower than the total depicted in table 1.</w:t>
      </w:r>
      <w:r w:rsidR="00E941F1" w:rsidRPr="0042499F">
        <w:rPr>
          <w:sz w:val="22"/>
          <w:szCs w:val="22"/>
        </w:rPr>
        <w:t xml:space="preserve"> </w:t>
      </w:r>
      <w:r w:rsidR="007A1480" w:rsidRPr="0042499F">
        <w:rPr>
          <w:sz w:val="22"/>
          <w:szCs w:val="22"/>
        </w:rPr>
        <w:t xml:space="preserve">Of those that attended, 43 completed and returned evaluations.  Attendees working in </w:t>
      </w:r>
      <w:r w:rsidR="00155CF2" w:rsidRPr="0042499F">
        <w:rPr>
          <w:sz w:val="22"/>
          <w:szCs w:val="22"/>
        </w:rPr>
        <w:t xml:space="preserve">regional food safety </w:t>
      </w:r>
      <w:r w:rsidR="007A1480" w:rsidRPr="0042499F">
        <w:rPr>
          <w:sz w:val="22"/>
          <w:szCs w:val="22"/>
        </w:rPr>
        <w:t>education represented the largest cohort</w:t>
      </w:r>
      <w:r w:rsidR="00E941F1" w:rsidRPr="0042499F">
        <w:rPr>
          <w:sz w:val="22"/>
          <w:szCs w:val="22"/>
        </w:rPr>
        <w:t xml:space="preserve"> of attendees (</w:t>
      </w:r>
      <w:r w:rsidR="007A1480" w:rsidRPr="0042499F">
        <w:rPr>
          <w:sz w:val="22"/>
          <w:szCs w:val="22"/>
        </w:rPr>
        <w:t>42%</w:t>
      </w:r>
      <w:r w:rsidR="00E941F1" w:rsidRPr="0042499F">
        <w:rPr>
          <w:sz w:val="22"/>
          <w:szCs w:val="22"/>
        </w:rPr>
        <w:t>)</w:t>
      </w:r>
      <w:r w:rsidR="007A1480" w:rsidRPr="0042499F">
        <w:rPr>
          <w:sz w:val="22"/>
          <w:szCs w:val="22"/>
        </w:rPr>
        <w:t xml:space="preserve"> at the Annual Conference</w:t>
      </w:r>
      <w:r w:rsidR="008E7E5E" w:rsidRPr="0042499F">
        <w:rPr>
          <w:sz w:val="22"/>
          <w:szCs w:val="22"/>
        </w:rPr>
        <w:t xml:space="preserve"> who responded to the evaluation</w:t>
      </w:r>
      <w:r w:rsidR="007A1480" w:rsidRPr="0042499F">
        <w:rPr>
          <w:sz w:val="22"/>
          <w:szCs w:val="22"/>
        </w:rPr>
        <w:t xml:space="preserve">.  </w:t>
      </w:r>
      <w:r w:rsidR="00155CF2" w:rsidRPr="0042499F">
        <w:rPr>
          <w:sz w:val="22"/>
          <w:szCs w:val="22"/>
        </w:rPr>
        <w:t xml:space="preserve">When selecting roles, attendees were asked to “Check all that apply” and education was also the most cross-cutting role identified, with 15 individuals selecting education along with another role.  </w:t>
      </w:r>
    </w:p>
    <w:p w14:paraId="7C24467C" w14:textId="723269BE" w:rsidR="006E362B" w:rsidRPr="006E362B" w:rsidRDefault="006E362B">
      <w:pPr>
        <w:rPr>
          <w:b/>
        </w:rPr>
      </w:pPr>
      <w:r>
        <w:rPr>
          <w:b/>
        </w:rPr>
        <w:lastRenderedPageBreak/>
        <w:t xml:space="preserve">Table 1. </w:t>
      </w:r>
      <w:r w:rsidR="007A1480">
        <w:rPr>
          <w:b/>
        </w:rPr>
        <w:t xml:space="preserve">Role breakdown for Annual Conference attendees </w:t>
      </w:r>
      <w:r w:rsidR="008E7E5E">
        <w:rPr>
          <w:b/>
        </w:rPr>
        <w:t xml:space="preserve">who Responded to the Evaluation </w:t>
      </w:r>
    </w:p>
    <w:tbl>
      <w:tblPr>
        <w:tblW w:w="5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1251"/>
        <w:gridCol w:w="1262"/>
      </w:tblGrid>
      <w:tr w:rsidR="0090359E" w:rsidRPr="0090359E" w14:paraId="33867B9D" w14:textId="77777777" w:rsidTr="0090359E">
        <w:trPr>
          <w:trHeight w:val="312"/>
        </w:trPr>
        <w:tc>
          <w:tcPr>
            <w:tcW w:w="3144" w:type="dxa"/>
            <w:shd w:val="clear" w:color="auto" w:fill="auto"/>
            <w:noWrap/>
            <w:vAlign w:val="bottom"/>
            <w:hideMark/>
          </w:tcPr>
          <w:p w14:paraId="16B0F757" w14:textId="77777777" w:rsidR="0090359E" w:rsidRPr="0090359E" w:rsidRDefault="0090359E" w:rsidP="0090359E">
            <w:pPr>
              <w:spacing w:after="0" w:line="240" w:lineRule="auto"/>
              <w:rPr>
                <w:rFonts w:ascii="Calibri" w:eastAsia="Times New Roman" w:hAnsi="Calibri" w:cs="Calibri"/>
                <w:b/>
                <w:color w:val="000000"/>
              </w:rPr>
            </w:pPr>
            <w:r w:rsidRPr="0090359E">
              <w:rPr>
                <w:rFonts w:ascii="Calibri" w:eastAsia="Times New Roman" w:hAnsi="Calibri" w:cs="Calibri"/>
                <w:b/>
                <w:color w:val="000000"/>
              </w:rPr>
              <w:t>Role in Regional Food Safety</w:t>
            </w:r>
          </w:p>
        </w:tc>
        <w:tc>
          <w:tcPr>
            <w:tcW w:w="1251" w:type="dxa"/>
            <w:shd w:val="clear" w:color="auto" w:fill="auto"/>
            <w:noWrap/>
            <w:vAlign w:val="bottom"/>
            <w:hideMark/>
          </w:tcPr>
          <w:p w14:paraId="1E0D747D" w14:textId="77777777" w:rsidR="0090359E" w:rsidRPr="0090359E" w:rsidRDefault="0090359E" w:rsidP="0090359E">
            <w:pPr>
              <w:spacing w:after="0" w:line="240" w:lineRule="auto"/>
              <w:rPr>
                <w:rFonts w:ascii="Calibri" w:eastAsia="Times New Roman" w:hAnsi="Calibri" w:cs="Calibri"/>
                <w:b/>
                <w:color w:val="000000"/>
              </w:rPr>
            </w:pPr>
            <w:r w:rsidRPr="0090359E">
              <w:rPr>
                <w:rFonts w:ascii="Calibri" w:eastAsia="Times New Roman" w:hAnsi="Calibri" w:cs="Calibri"/>
                <w:b/>
                <w:color w:val="000000"/>
              </w:rPr>
              <w:t>Number</w:t>
            </w:r>
          </w:p>
        </w:tc>
        <w:tc>
          <w:tcPr>
            <w:tcW w:w="1262" w:type="dxa"/>
            <w:shd w:val="clear" w:color="auto" w:fill="auto"/>
            <w:noWrap/>
            <w:vAlign w:val="bottom"/>
            <w:hideMark/>
          </w:tcPr>
          <w:p w14:paraId="053A9583" w14:textId="77777777" w:rsidR="0090359E" w:rsidRPr="0090359E" w:rsidRDefault="0090359E" w:rsidP="0090359E">
            <w:pPr>
              <w:spacing w:after="0" w:line="240" w:lineRule="auto"/>
              <w:jc w:val="right"/>
              <w:rPr>
                <w:rFonts w:ascii="Calibri" w:eastAsia="Times New Roman" w:hAnsi="Calibri" w:cs="Calibri"/>
                <w:b/>
                <w:color w:val="000000"/>
              </w:rPr>
            </w:pPr>
            <w:r w:rsidRPr="0090359E">
              <w:rPr>
                <w:rFonts w:ascii="Calibri" w:eastAsia="Times New Roman" w:hAnsi="Calibri" w:cs="Calibri"/>
                <w:b/>
                <w:color w:val="000000"/>
              </w:rPr>
              <w:t>Percent</w:t>
            </w:r>
          </w:p>
        </w:tc>
      </w:tr>
      <w:tr w:rsidR="0090359E" w:rsidRPr="0090359E" w14:paraId="17B9CAE3" w14:textId="77777777" w:rsidTr="0090359E">
        <w:trPr>
          <w:trHeight w:val="312"/>
        </w:trPr>
        <w:tc>
          <w:tcPr>
            <w:tcW w:w="3144" w:type="dxa"/>
            <w:shd w:val="clear" w:color="auto" w:fill="auto"/>
            <w:noWrap/>
            <w:vAlign w:val="bottom"/>
            <w:hideMark/>
          </w:tcPr>
          <w:p w14:paraId="4940F247"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Education</w:t>
            </w:r>
          </w:p>
        </w:tc>
        <w:tc>
          <w:tcPr>
            <w:tcW w:w="1251" w:type="dxa"/>
            <w:shd w:val="clear" w:color="auto" w:fill="auto"/>
            <w:noWrap/>
            <w:vAlign w:val="bottom"/>
            <w:hideMark/>
          </w:tcPr>
          <w:p w14:paraId="5B9B6921"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25</w:t>
            </w:r>
          </w:p>
        </w:tc>
        <w:tc>
          <w:tcPr>
            <w:tcW w:w="1262" w:type="dxa"/>
            <w:shd w:val="clear" w:color="auto" w:fill="auto"/>
            <w:noWrap/>
            <w:vAlign w:val="bottom"/>
            <w:hideMark/>
          </w:tcPr>
          <w:p w14:paraId="741D00EF"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42%</w:t>
            </w:r>
          </w:p>
        </w:tc>
      </w:tr>
      <w:tr w:rsidR="0090359E" w:rsidRPr="0090359E" w14:paraId="72491A5B" w14:textId="77777777" w:rsidTr="0090359E">
        <w:trPr>
          <w:trHeight w:val="312"/>
        </w:trPr>
        <w:tc>
          <w:tcPr>
            <w:tcW w:w="3144" w:type="dxa"/>
            <w:shd w:val="clear" w:color="auto" w:fill="auto"/>
            <w:noWrap/>
            <w:vAlign w:val="bottom"/>
            <w:hideMark/>
          </w:tcPr>
          <w:p w14:paraId="4DA915E5"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Government/Regulation</w:t>
            </w:r>
          </w:p>
        </w:tc>
        <w:tc>
          <w:tcPr>
            <w:tcW w:w="1251" w:type="dxa"/>
            <w:shd w:val="clear" w:color="auto" w:fill="auto"/>
            <w:noWrap/>
            <w:vAlign w:val="bottom"/>
            <w:hideMark/>
          </w:tcPr>
          <w:p w14:paraId="6AB9CB34"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15</w:t>
            </w:r>
          </w:p>
        </w:tc>
        <w:tc>
          <w:tcPr>
            <w:tcW w:w="1262" w:type="dxa"/>
            <w:shd w:val="clear" w:color="auto" w:fill="auto"/>
            <w:noWrap/>
            <w:vAlign w:val="bottom"/>
            <w:hideMark/>
          </w:tcPr>
          <w:p w14:paraId="74B581FF"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25%</w:t>
            </w:r>
          </w:p>
        </w:tc>
      </w:tr>
      <w:tr w:rsidR="0090359E" w:rsidRPr="0090359E" w14:paraId="18E41D93" w14:textId="77777777" w:rsidTr="0090359E">
        <w:trPr>
          <w:trHeight w:val="312"/>
        </w:trPr>
        <w:tc>
          <w:tcPr>
            <w:tcW w:w="3144" w:type="dxa"/>
            <w:shd w:val="clear" w:color="auto" w:fill="auto"/>
            <w:noWrap/>
            <w:vAlign w:val="bottom"/>
            <w:hideMark/>
          </w:tcPr>
          <w:p w14:paraId="798505AC"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Research</w:t>
            </w:r>
          </w:p>
        </w:tc>
        <w:tc>
          <w:tcPr>
            <w:tcW w:w="1251" w:type="dxa"/>
            <w:shd w:val="clear" w:color="auto" w:fill="auto"/>
            <w:noWrap/>
            <w:vAlign w:val="bottom"/>
            <w:hideMark/>
          </w:tcPr>
          <w:p w14:paraId="7F3797FC"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10</w:t>
            </w:r>
          </w:p>
        </w:tc>
        <w:tc>
          <w:tcPr>
            <w:tcW w:w="1262" w:type="dxa"/>
            <w:shd w:val="clear" w:color="auto" w:fill="auto"/>
            <w:noWrap/>
            <w:vAlign w:val="bottom"/>
            <w:hideMark/>
          </w:tcPr>
          <w:p w14:paraId="12CE8C2C"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17%</w:t>
            </w:r>
          </w:p>
        </w:tc>
      </w:tr>
      <w:tr w:rsidR="0090359E" w:rsidRPr="0090359E" w14:paraId="0D4A0A55" w14:textId="77777777" w:rsidTr="0090359E">
        <w:trPr>
          <w:trHeight w:val="312"/>
        </w:trPr>
        <w:tc>
          <w:tcPr>
            <w:tcW w:w="3144" w:type="dxa"/>
            <w:shd w:val="clear" w:color="auto" w:fill="auto"/>
            <w:noWrap/>
            <w:vAlign w:val="bottom"/>
            <w:hideMark/>
          </w:tcPr>
          <w:p w14:paraId="024F3C9D"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Industry</w:t>
            </w:r>
            <w:r>
              <w:rPr>
                <w:rFonts w:ascii="Calibri" w:eastAsia="Times New Roman" w:hAnsi="Calibri" w:cs="Calibri"/>
                <w:color w:val="000000"/>
              </w:rPr>
              <w:t xml:space="preserve"> (Producer or Processor)</w:t>
            </w:r>
          </w:p>
        </w:tc>
        <w:tc>
          <w:tcPr>
            <w:tcW w:w="1251" w:type="dxa"/>
            <w:shd w:val="clear" w:color="auto" w:fill="auto"/>
            <w:noWrap/>
            <w:vAlign w:val="bottom"/>
            <w:hideMark/>
          </w:tcPr>
          <w:p w14:paraId="34D50CF5"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7</w:t>
            </w:r>
          </w:p>
        </w:tc>
        <w:tc>
          <w:tcPr>
            <w:tcW w:w="1262" w:type="dxa"/>
            <w:shd w:val="clear" w:color="auto" w:fill="auto"/>
            <w:noWrap/>
            <w:vAlign w:val="bottom"/>
            <w:hideMark/>
          </w:tcPr>
          <w:p w14:paraId="6C5ED624"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12%</w:t>
            </w:r>
          </w:p>
        </w:tc>
      </w:tr>
      <w:tr w:rsidR="0090359E" w:rsidRPr="0090359E" w14:paraId="02734EC1" w14:textId="77777777" w:rsidTr="0090359E">
        <w:trPr>
          <w:trHeight w:val="312"/>
        </w:trPr>
        <w:tc>
          <w:tcPr>
            <w:tcW w:w="3144" w:type="dxa"/>
            <w:shd w:val="clear" w:color="auto" w:fill="auto"/>
            <w:noWrap/>
            <w:vAlign w:val="bottom"/>
            <w:hideMark/>
          </w:tcPr>
          <w:p w14:paraId="6C7B1E0B"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Consultant</w:t>
            </w:r>
          </w:p>
        </w:tc>
        <w:tc>
          <w:tcPr>
            <w:tcW w:w="1251" w:type="dxa"/>
            <w:shd w:val="clear" w:color="auto" w:fill="auto"/>
            <w:noWrap/>
            <w:vAlign w:val="bottom"/>
            <w:hideMark/>
          </w:tcPr>
          <w:p w14:paraId="4A3C6A8E"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2</w:t>
            </w:r>
          </w:p>
        </w:tc>
        <w:tc>
          <w:tcPr>
            <w:tcW w:w="1262" w:type="dxa"/>
            <w:shd w:val="clear" w:color="auto" w:fill="auto"/>
            <w:noWrap/>
            <w:vAlign w:val="bottom"/>
            <w:hideMark/>
          </w:tcPr>
          <w:p w14:paraId="0AD0AC6C"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3%</w:t>
            </w:r>
          </w:p>
        </w:tc>
      </w:tr>
      <w:tr w:rsidR="0090359E" w:rsidRPr="0090359E" w14:paraId="4CFF21FC" w14:textId="77777777" w:rsidTr="0090359E">
        <w:trPr>
          <w:trHeight w:val="312"/>
        </w:trPr>
        <w:tc>
          <w:tcPr>
            <w:tcW w:w="3144" w:type="dxa"/>
            <w:shd w:val="clear" w:color="auto" w:fill="auto"/>
            <w:noWrap/>
            <w:vAlign w:val="bottom"/>
            <w:hideMark/>
          </w:tcPr>
          <w:p w14:paraId="1CA0F957" w14:textId="77777777" w:rsidR="0090359E" w:rsidRPr="0090359E" w:rsidRDefault="0090359E" w:rsidP="0090359E">
            <w:pPr>
              <w:spacing w:after="0" w:line="240" w:lineRule="auto"/>
              <w:rPr>
                <w:rFonts w:ascii="Calibri" w:eastAsia="Times New Roman" w:hAnsi="Calibri" w:cs="Calibri"/>
                <w:color w:val="000000"/>
              </w:rPr>
            </w:pPr>
            <w:r w:rsidRPr="0090359E">
              <w:rPr>
                <w:rFonts w:ascii="Calibri" w:eastAsia="Times New Roman" w:hAnsi="Calibri" w:cs="Calibri"/>
                <w:color w:val="000000"/>
              </w:rPr>
              <w:t>Auditor</w:t>
            </w:r>
          </w:p>
        </w:tc>
        <w:tc>
          <w:tcPr>
            <w:tcW w:w="1251" w:type="dxa"/>
            <w:shd w:val="clear" w:color="auto" w:fill="auto"/>
            <w:noWrap/>
            <w:vAlign w:val="bottom"/>
            <w:hideMark/>
          </w:tcPr>
          <w:p w14:paraId="668A2D10"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1</w:t>
            </w:r>
          </w:p>
        </w:tc>
        <w:tc>
          <w:tcPr>
            <w:tcW w:w="1262" w:type="dxa"/>
            <w:shd w:val="clear" w:color="auto" w:fill="auto"/>
            <w:noWrap/>
            <w:vAlign w:val="bottom"/>
            <w:hideMark/>
          </w:tcPr>
          <w:p w14:paraId="5DEFA0F8"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2%</w:t>
            </w:r>
          </w:p>
        </w:tc>
      </w:tr>
      <w:tr w:rsidR="0090359E" w:rsidRPr="0090359E" w14:paraId="5522CE2B" w14:textId="77777777" w:rsidTr="0090359E">
        <w:trPr>
          <w:trHeight w:val="312"/>
        </w:trPr>
        <w:tc>
          <w:tcPr>
            <w:tcW w:w="3144" w:type="dxa"/>
            <w:shd w:val="clear" w:color="auto" w:fill="auto"/>
            <w:noWrap/>
            <w:vAlign w:val="bottom"/>
            <w:hideMark/>
          </w:tcPr>
          <w:p w14:paraId="72C79CDB" w14:textId="77777777" w:rsidR="0090359E" w:rsidRPr="0090359E" w:rsidRDefault="0090359E" w:rsidP="0090359E">
            <w:pPr>
              <w:spacing w:after="0" w:line="240" w:lineRule="auto"/>
              <w:rPr>
                <w:rFonts w:ascii="Calibri" w:eastAsia="Times New Roman" w:hAnsi="Calibri" w:cs="Calibri"/>
                <w:b/>
                <w:bCs/>
                <w:color w:val="000000"/>
              </w:rPr>
            </w:pPr>
            <w:r w:rsidRPr="0090359E">
              <w:rPr>
                <w:rFonts w:ascii="Calibri" w:eastAsia="Times New Roman" w:hAnsi="Calibri" w:cs="Calibri"/>
                <w:b/>
                <w:bCs/>
                <w:color w:val="000000"/>
              </w:rPr>
              <w:t>Total</w:t>
            </w:r>
          </w:p>
        </w:tc>
        <w:tc>
          <w:tcPr>
            <w:tcW w:w="1251" w:type="dxa"/>
            <w:shd w:val="clear" w:color="auto" w:fill="auto"/>
            <w:noWrap/>
            <w:vAlign w:val="bottom"/>
            <w:hideMark/>
          </w:tcPr>
          <w:p w14:paraId="6ED9755E"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60</w:t>
            </w:r>
          </w:p>
        </w:tc>
        <w:tc>
          <w:tcPr>
            <w:tcW w:w="1262" w:type="dxa"/>
            <w:shd w:val="clear" w:color="auto" w:fill="auto"/>
            <w:noWrap/>
            <w:vAlign w:val="bottom"/>
            <w:hideMark/>
          </w:tcPr>
          <w:p w14:paraId="27788213" w14:textId="77777777" w:rsidR="0090359E" w:rsidRPr="0090359E" w:rsidRDefault="0090359E" w:rsidP="0090359E">
            <w:pPr>
              <w:spacing w:after="0" w:line="240" w:lineRule="auto"/>
              <w:jc w:val="right"/>
              <w:rPr>
                <w:rFonts w:ascii="Calibri" w:eastAsia="Times New Roman" w:hAnsi="Calibri" w:cs="Calibri"/>
                <w:color w:val="000000"/>
              </w:rPr>
            </w:pPr>
            <w:r w:rsidRPr="0090359E">
              <w:rPr>
                <w:rFonts w:ascii="Calibri" w:eastAsia="Times New Roman" w:hAnsi="Calibri" w:cs="Calibri"/>
                <w:color w:val="000000"/>
              </w:rPr>
              <w:t>100%</w:t>
            </w:r>
          </w:p>
        </w:tc>
      </w:tr>
    </w:tbl>
    <w:p w14:paraId="334C3B76" w14:textId="77777777" w:rsidR="0090359E" w:rsidRDefault="0090359E" w:rsidP="00FB1419"/>
    <w:p w14:paraId="0E91F0AB" w14:textId="11D3A908" w:rsidR="009106BE" w:rsidRDefault="00BF5754" w:rsidP="00FB1419">
      <w:r>
        <w:t xml:space="preserve">On the evaluation, attendees reported on </w:t>
      </w:r>
      <w:r w:rsidR="00856C68">
        <w:t>both</w:t>
      </w:r>
      <w:r>
        <w:t xml:space="preserve"> the</w:t>
      </w:r>
      <w:r w:rsidR="00CB50FD">
        <w:t>ir perceptions of (1) the</w:t>
      </w:r>
      <w:r>
        <w:t xml:space="preserve"> 2018 NECAFS Annual Conference</w:t>
      </w:r>
      <w:r w:rsidR="00856C68">
        <w:t xml:space="preserve"> </w:t>
      </w:r>
      <w:r w:rsidR="00370297">
        <w:t xml:space="preserve">and Meeting </w:t>
      </w:r>
      <w:r w:rsidR="00856C68">
        <w:t xml:space="preserve">and </w:t>
      </w:r>
      <w:r w:rsidR="00CB50FD">
        <w:t xml:space="preserve">(2) </w:t>
      </w:r>
      <w:r w:rsidR="00856C68">
        <w:t xml:space="preserve">the NECAFS resources </w:t>
      </w:r>
      <w:r w:rsidR="00CB50FD">
        <w:t xml:space="preserve">that were made </w:t>
      </w:r>
      <w:r w:rsidR="00856C68">
        <w:t>available throughout the</w:t>
      </w:r>
      <w:r w:rsidR="00CB50FD">
        <w:t xml:space="preserve"> previous</w:t>
      </w:r>
      <w:r w:rsidR="00856C68">
        <w:t xml:space="preserve"> year</w:t>
      </w:r>
      <w:r w:rsidR="00CB50FD">
        <w:t xml:space="preserve">. Our evaluation was designed to allow us to understand if and how both of these </w:t>
      </w:r>
      <w:r w:rsidR="009106BE">
        <w:t>impact</w:t>
      </w:r>
      <w:r w:rsidR="00CB50FD">
        <w:t>ed</w:t>
      </w:r>
      <w:r w:rsidR="009106BE">
        <w:t xml:space="preserve"> </w:t>
      </w:r>
      <w:r w:rsidR="00856C68">
        <w:t>the</w:t>
      </w:r>
      <w:r w:rsidR="00CB50FD">
        <w:t xml:space="preserve"> respondents’ (or participants’) </w:t>
      </w:r>
      <w:r w:rsidR="00856C68">
        <w:t xml:space="preserve">regional food safety work.  </w:t>
      </w:r>
      <w:r w:rsidR="007D63CC">
        <w:t>Regarding the Annual Conference</w:t>
      </w:r>
      <w:r w:rsidR="00370297">
        <w:t xml:space="preserve"> and Meeting</w:t>
      </w:r>
      <w:r w:rsidR="007D63CC">
        <w:t xml:space="preserve">, we asked specifically if they learned something or met someone new and, if so, what did they learn and will this new knowledge or new relationship change their approach to FSMA and food safety in general.  Further, we asked what key food safety challenges they see in our region and/or in their state.  </w:t>
      </w:r>
      <w:r w:rsidR="00844963">
        <w:t xml:space="preserve">Regarding the resources made available by </w:t>
      </w:r>
      <w:r w:rsidR="007D63CC">
        <w:t xml:space="preserve">NECAFS throughout the year, we asked if the resources helped improve </w:t>
      </w:r>
      <w:r w:rsidR="00844963">
        <w:t>respondents’</w:t>
      </w:r>
      <w:r w:rsidR="008E7E5E">
        <w:t xml:space="preserve"> ability to provide</w:t>
      </w:r>
      <w:r w:rsidR="00844963">
        <w:t xml:space="preserve"> </w:t>
      </w:r>
      <w:r w:rsidR="007D63CC">
        <w:t>food safety training, education and/or outreach and, if so, how.  Finally, attendees rated NECAFS in the areas of regional communication, building regional capacity, competence, and colla</w:t>
      </w:r>
      <w:r w:rsidR="00D968D9">
        <w:t xml:space="preserve">boration and developing and delivering educational programs.  </w:t>
      </w:r>
      <w:r w:rsidR="00844963">
        <w:t>Include a sentence about why this type of evaluation is useful to NECAFS, and if there is any larger message about the community of food safety professionals in the NE at this point in time.</w:t>
      </w:r>
    </w:p>
    <w:p w14:paraId="0FCA7896" w14:textId="77777777" w:rsidR="009106BE" w:rsidRDefault="009106BE" w:rsidP="00FB1419">
      <w:pPr>
        <w:rPr>
          <w:szCs w:val="32"/>
        </w:rPr>
      </w:pPr>
      <w:r w:rsidRPr="009106BE">
        <w:rPr>
          <w:sz w:val="32"/>
          <w:szCs w:val="32"/>
        </w:rPr>
        <w:t xml:space="preserve">NECAFS Annual Conference </w:t>
      </w:r>
      <w:r w:rsidR="00370297">
        <w:rPr>
          <w:sz w:val="32"/>
          <w:szCs w:val="32"/>
        </w:rPr>
        <w:t xml:space="preserve">and Meeting </w:t>
      </w:r>
      <w:r w:rsidRPr="009106BE">
        <w:rPr>
          <w:sz w:val="32"/>
          <w:szCs w:val="32"/>
        </w:rPr>
        <w:t>Impact Results</w:t>
      </w:r>
    </w:p>
    <w:p w14:paraId="6580C943" w14:textId="77777777" w:rsidR="00180D22" w:rsidRPr="00180D22" w:rsidRDefault="00180D22" w:rsidP="00FB1419">
      <w:pPr>
        <w:rPr>
          <w:i/>
          <w:sz w:val="26"/>
          <w:szCs w:val="26"/>
        </w:rPr>
      </w:pPr>
      <w:r>
        <w:rPr>
          <w:i/>
          <w:sz w:val="26"/>
          <w:szCs w:val="26"/>
        </w:rPr>
        <w:t>Did you learn something new?</w:t>
      </w:r>
    </w:p>
    <w:p w14:paraId="18B60714" w14:textId="446F7EA2" w:rsidR="00780E3F" w:rsidRDefault="009A49DB" w:rsidP="00FB1419">
      <w:pPr>
        <w:rPr>
          <w:szCs w:val="32"/>
        </w:rPr>
      </w:pPr>
      <w:r>
        <w:t xml:space="preserve">When asked “Did you learn something new?” 41 </w:t>
      </w:r>
      <w:r w:rsidR="00C711BC">
        <w:t xml:space="preserve">(95%) </w:t>
      </w:r>
      <w:r>
        <w:t xml:space="preserve">respondents answered “Yes.”  </w:t>
      </w:r>
      <w:r w:rsidR="00370297">
        <w:rPr>
          <w:szCs w:val="32"/>
        </w:rPr>
        <w:t>Answers to t</w:t>
      </w:r>
      <w:r w:rsidR="00213A47">
        <w:rPr>
          <w:szCs w:val="32"/>
        </w:rPr>
        <w:t>h</w:t>
      </w:r>
      <w:r w:rsidR="0090784B">
        <w:rPr>
          <w:szCs w:val="32"/>
        </w:rPr>
        <w:t xml:space="preserve">e follow-up </w:t>
      </w:r>
      <w:r w:rsidR="00DC1CA0">
        <w:rPr>
          <w:szCs w:val="32"/>
        </w:rPr>
        <w:t>evaluation question</w:t>
      </w:r>
      <w:r w:rsidR="0090784B">
        <w:rPr>
          <w:szCs w:val="32"/>
        </w:rPr>
        <w:t xml:space="preserve"> “If so, what did you learn?”</w:t>
      </w:r>
      <w:r w:rsidR="00DC1CA0">
        <w:rPr>
          <w:szCs w:val="32"/>
        </w:rPr>
        <w:t xml:space="preserve"> </w:t>
      </w:r>
      <w:r w:rsidR="00370297">
        <w:rPr>
          <w:szCs w:val="32"/>
        </w:rPr>
        <w:t>resulted in broad common themes among attendees, most notably</w:t>
      </w:r>
      <w:r w:rsidR="000512A8">
        <w:rPr>
          <w:szCs w:val="32"/>
        </w:rPr>
        <w:t>:</w:t>
      </w:r>
      <w:r w:rsidR="00370297">
        <w:rPr>
          <w:szCs w:val="32"/>
        </w:rPr>
        <w:t xml:space="preserve"> </w:t>
      </w:r>
      <w:r w:rsidR="00F354CC">
        <w:rPr>
          <w:szCs w:val="32"/>
        </w:rPr>
        <w:t xml:space="preserve">1.) </w:t>
      </w:r>
      <w:r w:rsidR="000512A8">
        <w:rPr>
          <w:szCs w:val="32"/>
        </w:rPr>
        <w:t xml:space="preserve">learning about existing </w:t>
      </w:r>
      <w:r w:rsidR="00370297">
        <w:rPr>
          <w:szCs w:val="32"/>
        </w:rPr>
        <w:t>educational efforts</w:t>
      </w:r>
      <w:r w:rsidR="00F354CC">
        <w:rPr>
          <w:szCs w:val="32"/>
        </w:rPr>
        <w:t xml:space="preserve">, 2.) </w:t>
      </w:r>
      <w:r w:rsidR="000512A8">
        <w:rPr>
          <w:szCs w:val="32"/>
        </w:rPr>
        <w:t xml:space="preserve">the </w:t>
      </w:r>
      <w:r w:rsidR="00F354CC">
        <w:rPr>
          <w:szCs w:val="32"/>
        </w:rPr>
        <w:t>individual needs of growers, buyers and processors, and 3.) variation</w:t>
      </w:r>
      <w:r w:rsidR="000512A8">
        <w:rPr>
          <w:szCs w:val="32"/>
        </w:rPr>
        <w:t xml:space="preserve"> between states</w:t>
      </w:r>
      <w:r w:rsidR="00F354CC">
        <w:rPr>
          <w:szCs w:val="32"/>
        </w:rPr>
        <w:t xml:space="preserve"> in implementation </w:t>
      </w:r>
      <w:r w:rsidR="00780E3F">
        <w:rPr>
          <w:szCs w:val="32"/>
        </w:rPr>
        <w:t>of FSMA.  Less common</w:t>
      </w:r>
      <w:r w:rsidR="000512A8">
        <w:rPr>
          <w:szCs w:val="32"/>
        </w:rPr>
        <w:t>ly cited</w:t>
      </w:r>
      <w:r w:rsidR="00780E3F">
        <w:rPr>
          <w:szCs w:val="32"/>
        </w:rPr>
        <w:t xml:space="preserve"> themes also emerged</w:t>
      </w:r>
      <w:r w:rsidR="000512A8">
        <w:rPr>
          <w:szCs w:val="32"/>
        </w:rPr>
        <w:t>,</w:t>
      </w:r>
      <w:r w:rsidR="00780E3F">
        <w:rPr>
          <w:szCs w:val="32"/>
        </w:rPr>
        <w:t xml:space="preserve"> includ</w:t>
      </w:r>
      <w:r w:rsidR="000512A8">
        <w:rPr>
          <w:szCs w:val="32"/>
        </w:rPr>
        <w:t>ing</w:t>
      </w:r>
      <w:r w:rsidR="00780E3F">
        <w:rPr>
          <w:szCs w:val="32"/>
        </w:rPr>
        <w:t xml:space="preserve">: </w:t>
      </w:r>
      <w:r w:rsidR="000512A8">
        <w:rPr>
          <w:szCs w:val="32"/>
        </w:rPr>
        <w:t xml:space="preserve">a </w:t>
      </w:r>
      <w:r w:rsidR="00C711BC">
        <w:rPr>
          <w:szCs w:val="32"/>
        </w:rPr>
        <w:t>better</w:t>
      </w:r>
      <w:r w:rsidR="00780E3F">
        <w:rPr>
          <w:szCs w:val="32"/>
        </w:rPr>
        <w:t xml:space="preserve"> understanding of FSMA, different views from stakeholder partners,</w:t>
      </w:r>
      <w:r w:rsidR="000512A8">
        <w:rPr>
          <w:szCs w:val="32"/>
        </w:rPr>
        <w:t xml:space="preserve"> the differences between</w:t>
      </w:r>
      <w:r w:rsidR="00780E3F">
        <w:rPr>
          <w:szCs w:val="32"/>
        </w:rPr>
        <w:t xml:space="preserve"> audits versus inspections, different avenues to receive financial support, and similar challenges shared with colleagues.  </w:t>
      </w:r>
      <w:r w:rsidR="00F11759">
        <w:rPr>
          <w:szCs w:val="32"/>
        </w:rPr>
        <w:t>Attendees often included multiple responses that corresponded with several themes, explaining that they learned more than one thing from attending the Annual Conference and Meeting.</w:t>
      </w:r>
    </w:p>
    <w:p w14:paraId="1A3A47C9" w14:textId="69D6E896" w:rsidR="00A86F56" w:rsidRDefault="006B0328" w:rsidP="0078730D">
      <w:pPr>
        <w:rPr>
          <w:szCs w:val="32"/>
        </w:rPr>
      </w:pPr>
      <w:r>
        <w:rPr>
          <w:szCs w:val="32"/>
        </w:rPr>
        <w:t>First, r</w:t>
      </w:r>
      <w:r w:rsidR="00370297">
        <w:rPr>
          <w:szCs w:val="32"/>
        </w:rPr>
        <w:t xml:space="preserve">espondents described </w:t>
      </w:r>
      <w:r w:rsidR="00F354CC">
        <w:rPr>
          <w:szCs w:val="32"/>
        </w:rPr>
        <w:t>learning</w:t>
      </w:r>
      <w:r w:rsidR="00370297">
        <w:rPr>
          <w:szCs w:val="32"/>
        </w:rPr>
        <w:t xml:space="preserve"> about</w:t>
      </w:r>
      <w:r w:rsidR="00F354CC">
        <w:rPr>
          <w:szCs w:val="32"/>
        </w:rPr>
        <w:t xml:space="preserve"> several education efforts underway on the regional and national levels.  Some attendees garnered a </w:t>
      </w:r>
      <w:r w:rsidR="00370297">
        <w:rPr>
          <w:szCs w:val="32"/>
        </w:rPr>
        <w:t xml:space="preserve">greater understanding of </w:t>
      </w:r>
      <w:r w:rsidR="00A86F56">
        <w:rPr>
          <w:szCs w:val="32"/>
        </w:rPr>
        <w:t>O</w:t>
      </w:r>
      <w:r w:rsidR="00F354CC">
        <w:rPr>
          <w:szCs w:val="32"/>
        </w:rPr>
        <w:t>n-Farm Readiness Review (OFRR)</w:t>
      </w:r>
      <w:r w:rsidR="00C711BC">
        <w:rPr>
          <w:rStyle w:val="FootnoteReference"/>
          <w:szCs w:val="32"/>
        </w:rPr>
        <w:footnoteReference w:id="2"/>
      </w:r>
      <w:r w:rsidR="00F354CC">
        <w:rPr>
          <w:szCs w:val="32"/>
        </w:rPr>
        <w:t xml:space="preserve"> while others articulated new knowledge of specific university</w:t>
      </w:r>
      <w:r w:rsidR="00C711BC">
        <w:rPr>
          <w:szCs w:val="32"/>
        </w:rPr>
        <w:t xml:space="preserve"> and regulatory </w:t>
      </w:r>
      <w:r w:rsidR="00DB264C">
        <w:rPr>
          <w:szCs w:val="32"/>
        </w:rPr>
        <w:t>based</w:t>
      </w:r>
      <w:r w:rsidR="00F354CC">
        <w:rPr>
          <w:szCs w:val="32"/>
        </w:rPr>
        <w:t xml:space="preserve"> efforts</w:t>
      </w:r>
      <w:r w:rsidR="00A86F56">
        <w:rPr>
          <w:szCs w:val="32"/>
        </w:rPr>
        <w:t xml:space="preserve"> </w:t>
      </w:r>
      <w:r w:rsidR="00A86F56">
        <w:rPr>
          <w:szCs w:val="32"/>
        </w:rPr>
        <w:lastRenderedPageBreak/>
        <w:t>around FSMA research and education</w:t>
      </w:r>
      <w:r w:rsidR="00F354CC">
        <w:rPr>
          <w:szCs w:val="32"/>
        </w:rPr>
        <w:t xml:space="preserve">.  </w:t>
      </w:r>
      <w:r w:rsidR="0057540B">
        <w:rPr>
          <w:szCs w:val="32"/>
        </w:rPr>
        <w:t>Several respondents described generally their new knowledge of</w:t>
      </w:r>
      <w:r w:rsidR="00A86F56">
        <w:rPr>
          <w:szCs w:val="32"/>
        </w:rPr>
        <w:t xml:space="preserve"> add-on and supplemental material, and the then-upcoming launch of the NECAFS Clearinghouse. </w:t>
      </w:r>
      <w:r w:rsidR="002076F3">
        <w:rPr>
          <w:szCs w:val="32"/>
        </w:rPr>
        <w:t xml:space="preserve"> </w:t>
      </w:r>
    </w:p>
    <w:p w14:paraId="48E0A25E" w14:textId="51028F5C" w:rsidR="00780E3F" w:rsidRDefault="006B0328" w:rsidP="0078730D">
      <w:pPr>
        <w:rPr>
          <w:szCs w:val="32"/>
        </w:rPr>
      </w:pPr>
      <w:r>
        <w:rPr>
          <w:szCs w:val="32"/>
        </w:rPr>
        <w:t>Second, r</w:t>
      </w:r>
      <w:r w:rsidR="00780E3F">
        <w:rPr>
          <w:szCs w:val="32"/>
        </w:rPr>
        <w:t xml:space="preserve">esponses around the </w:t>
      </w:r>
      <w:r w:rsidR="00576D94">
        <w:rPr>
          <w:szCs w:val="32"/>
        </w:rPr>
        <w:t xml:space="preserve">individual needs of growers, buyers and processors were the most diverse of any within one theme.  </w:t>
      </w:r>
      <w:r>
        <w:rPr>
          <w:szCs w:val="32"/>
        </w:rPr>
        <w:t>A</w:t>
      </w:r>
      <w:r w:rsidR="00576D94">
        <w:rPr>
          <w:szCs w:val="32"/>
        </w:rPr>
        <w:t xml:space="preserve">ttendees reported that it was </w:t>
      </w:r>
      <w:r w:rsidR="00C711BC">
        <w:rPr>
          <w:szCs w:val="32"/>
        </w:rPr>
        <w:t>helpful</w:t>
      </w:r>
      <w:r w:rsidR="00576D94">
        <w:rPr>
          <w:szCs w:val="32"/>
        </w:rPr>
        <w:t xml:space="preserve"> to hear </w:t>
      </w:r>
      <w:r w:rsidR="00FF4208">
        <w:rPr>
          <w:szCs w:val="32"/>
        </w:rPr>
        <w:t xml:space="preserve">about </w:t>
      </w:r>
      <w:r>
        <w:rPr>
          <w:szCs w:val="32"/>
        </w:rPr>
        <w:t xml:space="preserve">specific </w:t>
      </w:r>
      <w:r w:rsidR="00FF4208">
        <w:rPr>
          <w:szCs w:val="32"/>
        </w:rPr>
        <w:t xml:space="preserve">educational needs </w:t>
      </w:r>
      <w:r w:rsidR="00C711BC">
        <w:rPr>
          <w:szCs w:val="32"/>
        </w:rPr>
        <w:t xml:space="preserve">of growers and processors </w:t>
      </w:r>
      <w:r w:rsidR="00FF4208">
        <w:rPr>
          <w:szCs w:val="32"/>
        </w:rPr>
        <w:t xml:space="preserve">and how </w:t>
      </w:r>
      <w:r w:rsidR="00154D3E">
        <w:rPr>
          <w:szCs w:val="32"/>
        </w:rPr>
        <w:t>they</w:t>
      </w:r>
      <w:r w:rsidR="00FF4208">
        <w:rPr>
          <w:szCs w:val="32"/>
        </w:rPr>
        <w:t xml:space="preserve"> can support that need.  </w:t>
      </w:r>
      <w:r>
        <w:rPr>
          <w:szCs w:val="32"/>
        </w:rPr>
        <w:t>A</w:t>
      </w:r>
      <w:r w:rsidR="00FF4208">
        <w:rPr>
          <w:szCs w:val="32"/>
        </w:rPr>
        <w:t>ttendees</w:t>
      </w:r>
      <w:r w:rsidR="00154D3E">
        <w:rPr>
          <w:szCs w:val="32"/>
        </w:rPr>
        <w:t xml:space="preserve"> also</w:t>
      </w:r>
      <w:r w:rsidR="00FF4208">
        <w:rPr>
          <w:szCs w:val="32"/>
        </w:rPr>
        <w:t xml:space="preserve"> described that they appreciated hearing the point of view </w:t>
      </w:r>
      <w:r w:rsidR="00154D3E">
        <w:rPr>
          <w:szCs w:val="32"/>
        </w:rPr>
        <w:t xml:space="preserve">and perspective </w:t>
      </w:r>
      <w:r w:rsidR="00FF4208">
        <w:rPr>
          <w:szCs w:val="32"/>
        </w:rPr>
        <w:t>of the grower, buyer and pro</w:t>
      </w:r>
      <w:r w:rsidR="00154D3E">
        <w:rPr>
          <w:szCs w:val="32"/>
        </w:rPr>
        <w:t>cessor</w:t>
      </w:r>
      <w:r>
        <w:rPr>
          <w:szCs w:val="32"/>
        </w:rPr>
        <w:t xml:space="preserve"> panels</w:t>
      </w:r>
      <w:r w:rsidR="00154D3E">
        <w:rPr>
          <w:szCs w:val="32"/>
        </w:rPr>
        <w:t xml:space="preserve">, which </w:t>
      </w:r>
      <w:r>
        <w:rPr>
          <w:szCs w:val="32"/>
        </w:rPr>
        <w:t xml:space="preserve">presented </w:t>
      </w:r>
      <w:r w:rsidR="00154D3E">
        <w:rPr>
          <w:szCs w:val="32"/>
        </w:rPr>
        <w:t>complex and multi-faceted</w:t>
      </w:r>
      <w:r>
        <w:rPr>
          <w:szCs w:val="32"/>
        </w:rPr>
        <w:t xml:space="preserve"> experiences with food safety in general and FSMA in particular</w:t>
      </w:r>
      <w:r w:rsidR="00154D3E">
        <w:rPr>
          <w:szCs w:val="32"/>
        </w:rPr>
        <w:t>.</w:t>
      </w:r>
      <w:r w:rsidR="00FF4208">
        <w:rPr>
          <w:szCs w:val="32"/>
        </w:rPr>
        <w:t xml:space="preserve">  The examples given</w:t>
      </w:r>
      <w:r w:rsidR="008D3A97">
        <w:rPr>
          <w:szCs w:val="32"/>
        </w:rPr>
        <w:t xml:space="preserve"> by attendees to illustrate their knowledge gained</w:t>
      </w:r>
      <w:r w:rsidR="00FF4208">
        <w:rPr>
          <w:szCs w:val="32"/>
        </w:rPr>
        <w:t xml:space="preserve"> </w:t>
      </w:r>
      <w:r w:rsidR="0015542C">
        <w:rPr>
          <w:szCs w:val="32"/>
        </w:rPr>
        <w:t xml:space="preserve">in this area </w:t>
      </w:r>
      <w:r w:rsidR="00FF4208">
        <w:rPr>
          <w:szCs w:val="32"/>
        </w:rPr>
        <w:t>were wide ranging</w:t>
      </w:r>
      <w:r w:rsidR="0015542C">
        <w:rPr>
          <w:szCs w:val="32"/>
        </w:rPr>
        <w:t>,</w:t>
      </w:r>
      <w:r w:rsidR="00FF4208">
        <w:rPr>
          <w:szCs w:val="32"/>
        </w:rPr>
        <w:t xml:space="preserve"> from process based strategies such as the </w:t>
      </w:r>
      <w:r w:rsidR="00154D3E">
        <w:rPr>
          <w:szCs w:val="32"/>
        </w:rPr>
        <w:t xml:space="preserve">decision making around </w:t>
      </w:r>
      <w:r w:rsidR="00FF4208">
        <w:rPr>
          <w:szCs w:val="32"/>
        </w:rPr>
        <w:t>implementation</w:t>
      </w:r>
      <w:r w:rsidR="00154D3E">
        <w:rPr>
          <w:szCs w:val="32"/>
        </w:rPr>
        <w:t xml:space="preserve"> plans</w:t>
      </w:r>
      <w:r w:rsidR="00FF4208">
        <w:rPr>
          <w:szCs w:val="32"/>
        </w:rPr>
        <w:t xml:space="preserve"> to </w:t>
      </w:r>
      <w:r w:rsidR="00154D3E">
        <w:rPr>
          <w:szCs w:val="32"/>
        </w:rPr>
        <w:t xml:space="preserve">articulated concerns and struggles within a shifting FSMA landscape.  One attendee </w:t>
      </w:r>
      <w:r w:rsidR="008D3A97">
        <w:rPr>
          <w:szCs w:val="32"/>
        </w:rPr>
        <w:t xml:space="preserve">described </w:t>
      </w:r>
      <w:r w:rsidR="00816281">
        <w:rPr>
          <w:szCs w:val="32"/>
        </w:rPr>
        <w:t xml:space="preserve">this complex perspective by explaining that she learned about </w:t>
      </w:r>
      <w:r w:rsidR="008D3A97">
        <w:rPr>
          <w:szCs w:val="32"/>
        </w:rPr>
        <w:t xml:space="preserve">the “intricate and complete relationship between growers, buyer requirements and regulatory requirements” and the need to “focus efforts on reconciling the three entities.” </w:t>
      </w:r>
    </w:p>
    <w:p w14:paraId="6CC1BA66" w14:textId="3023FF39" w:rsidR="00DC1CA0" w:rsidRDefault="00F11759" w:rsidP="0078730D">
      <w:pPr>
        <w:rPr>
          <w:szCs w:val="32"/>
        </w:rPr>
      </w:pPr>
      <w:r>
        <w:rPr>
          <w:szCs w:val="32"/>
        </w:rPr>
        <w:t>Third, r</w:t>
      </w:r>
      <w:r w:rsidR="00AC44B7">
        <w:rPr>
          <w:szCs w:val="32"/>
        </w:rPr>
        <w:t>espondents explained that the information shared by state</w:t>
      </w:r>
      <w:r>
        <w:rPr>
          <w:szCs w:val="32"/>
        </w:rPr>
        <w:t xml:space="preserve"> representatives </w:t>
      </w:r>
      <w:r w:rsidR="00AC44B7">
        <w:rPr>
          <w:szCs w:val="32"/>
        </w:rPr>
        <w:t xml:space="preserve">on how they plan to implement FSMA was “illuminating.”  The responses indicate that attendees were interested to learn about these variations and take back ideas from other states. </w:t>
      </w:r>
    </w:p>
    <w:p w14:paraId="5F18DB7B" w14:textId="3CBE94A1" w:rsidR="00180D22" w:rsidRPr="00180D22" w:rsidRDefault="00FC02EF" w:rsidP="0078730D">
      <w:pPr>
        <w:rPr>
          <w:i/>
          <w:sz w:val="26"/>
          <w:szCs w:val="26"/>
        </w:rPr>
      </w:pPr>
      <w:r>
        <w:rPr>
          <w:i/>
          <w:sz w:val="26"/>
          <w:szCs w:val="26"/>
        </w:rPr>
        <w:t>Will n</w:t>
      </w:r>
      <w:r w:rsidR="00CF1120">
        <w:rPr>
          <w:i/>
          <w:sz w:val="26"/>
          <w:szCs w:val="26"/>
        </w:rPr>
        <w:t xml:space="preserve">ew knowledge </w:t>
      </w:r>
      <w:r w:rsidR="00213A47">
        <w:rPr>
          <w:i/>
          <w:sz w:val="26"/>
          <w:szCs w:val="26"/>
        </w:rPr>
        <w:t>change</w:t>
      </w:r>
      <w:r w:rsidR="00180D22">
        <w:rPr>
          <w:i/>
          <w:sz w:val="26"/>
          <w:szCs w:val="26"/>
        </w:rPr>
        <w:t xml:space="preserve"> your approach to FSMA?</w:t>
      </w:r>
    </w:p>
    <w:p w14:paraId="57A8E469" w14:textId="4DDA19CC" w:rsidR="0078730D" w:rsidRDefault="0078730D" w:rsidP="0078730D">
      <w:r>
        <w:t xml:space="preserve">Answers to the evaluation question “How will this new knowledge change your approach to FSMA and food safety in general?” resulted in one overwhelming common theme cited by the majority of attendees: </w:t>
      </w:r>
      <w:r w:rsidR="00994047">
        <w:t xml:space="preserve">new knowledge made respondents feel more </w:t>
      </w:r>
      <w:r>
        <w:t xml:space="preserve">prepared and informed </w:t>
      </w:r>
      <w:r w:rsidR="00994047">
        <w:t xml:space="preserve">as </w:t>
      </w:r>
      <w:r>
        <w:t>trainer</w:t>
      </w:r>
      <w:r w:rsidR="00994047">
        <w:t>s</w:t>
      </w:r>
      <w:r>
        <w:t xml:space="preserve"> and/or researcher</w:t>
      </w:r>
      <w:r w:rsidR="00994047">
        <w:t>s</w:t>
      </w:r>
      <w:r>
        <w:t xml:space="preserve">.  </w:t>
      </w:r>
      <w:r w:rsidR="00801FFF">
        <w:t>Respondents reported that the information learned makes them more effective educators, giving them an improved ability to answer questions and pass along education</w:t>
      </w:r>
      <w:r w:rsidR="00C711BC">
        <w:t xml:space="preserve"> to growers and processors</w:t>
      </w:r>
      <w:r w:rsidR="00801FFF">
        <w:t xml:space="preserve">.  Having both education and regulation </w:t>
      </w:r>
      <w:r w:rsidR="009449A2">
        <w:t xml:space="preserve">audiences </w:t>
      </w:r>
      <w:r w:rsidR="00801FFF">
        <w:t xml:space="preserve">present at the Annual Conference and Meeting allowed attendees to hear and learn from </w:t>
      </w:r>
      <w:r w:rsidR="009449A2">
        <w:t>each other</w:t>
      </w:r>
      <w:r w:rsidR="00801FFF">
        <w:t>.  On</w:t>
      </w:r>
      <w:r w:rsidR="0008268A">
        <w:t>e</w:t>
      </w:r>
      <w:r w:rsidR="00801FFF">
        <w:t xml:space="preserve"> attende</w:t>
      </w:r>
      <w:r w:rsidR="0008268A">
        <w:t>e</w:t>
      </w:r>
      <w:r w:rsidR="00801FFF">
        <w:t xml:space="preserve"> described her appreciation for hearing from both educat</w:t>
      </w:r>
      <w:r w:rsidR="009449A2">
        <w:t>ors</w:t>
      </w:r>
      <w:r w:rsidR="00801FFF">
        <w:t xml:space="preserve"> and regul</w:t>
      </w:r>
      <w:r w:rsidR="006D2A6D">
        <w:t>at</w:t>
      </w:r>
      <w:r w:rsidR="009449A2">
        <w:t>ors,</w:t>
      </w:r>
      <w:r w:rsidR="00801FFF">
        <w:t xml:space="preserve"> and explained that </w:t>
      </w:r>
      <w:r w:rsidR="009449A2">
        <w:t xml:space="preserve">FSMA </w:t>
      </w:r>
      <w:r w:rsidR="00801FFF">
        <w:t xml:space="preserve">now “feels less overwhelming to explain and help growers through.” </w:t>
      </w:r>
      <w:r>
        <w:t xml:space="preserve">Less common themes that also emerged </w:t>
      </w:r>
      <w:r w:rsidR="009449A2">
        <w:t xml:space="preserve">in response to this question </w:t>
      </w:r>
      <w:r>
        <w:t>included</w:t>
      </w:r>
      <w:r w:rsidR="007F3166">
        <w:t xml:space="preserve"> reports that respondents were </w:t>
      </w:r>
      <w:r w:rsidR="009449A2">
        <w:t xml:space="preserve">more </w:t>
      </w:r>
      <w:r w:rsidR="007F3166">
        <w:t>likely to try a</w:t>
      </w:r>
      <w:r>
        <w:t xml:space="preserve"> new approach</w:t>
      </w:r>
      <w:r w:rsidR="00412FC3">
        <w:t xml:space="preserve"> in education or evaluation, use existing resources in education and reduce redundancy, </w:t>
      </w:r>
      <w:r w:rsidR="009449A2">
        <w:t>and/</w:t>
      </w:r>
      <w:r w:rsidR="007F3166">
        <w:t xml:space="preserve">or </w:t>
      </w:r>
      <w:r w:rsidR="009449A2">
        <w:t xml:space="preserve">respondents </w:t>
      </w:r>
      <w:r w:rsidR="007F3166">
        <w:t xml:space="preserve">gained </w:t>
      </w:r>
      <w:r w:rsidR="00412FC3">
        <w:t>clarity around FSMA and human impact and storytelling.</w:t>
      </w:r>
    </w:p>
    <w:p w14:paraId="52CCD847" w14:textId="0AEC2A0D" w:rsidR="009C68ED" w:rsidRDefault="00E20FAC" w:rsidP="0078730D">
      <w:pPr>
        <w:rPr>
          <w:i/>
          <w:sz w:val="26"/>
          <w:szCs w:val="26"/>
        </w:rPr>
      </w:pPr>
      <w:r>
        <w:rPr>
          <w:i/>
          <w:sz w:val="26"/>
          <w:szCs w:val="26"/>
        </w:rPr>
        <w:t>How wil</w:t>
      </w:r>
      <w:r w:rsidR="006D2A6D">
        <w:rPr>
          <w:i/>
          <w:sz w:val="26"/>
          <w:szCs w:val="26"/>
        </w:rPr>
        <w:t xml:space="preserve">l new </w:t>
      </w:r>
      <w:r w:rsidR="00213A47">
        <w:rPr>
          <w:i/>
          <w:sz w:val="26"/>
          <w:szCs w:val="26"/>
        </w:rPr>
        <w:t>relationship</w:t>
      </w:r>
      <w:r w:rsidR="006D2A6D">
        <w:rPr>
          <w:i/>
          <w:sz w:val="26"/>
          <w:szCs w:val="26"/>
        </w:rPr>
        <w:t>s</w:t>
      </w:r>
      <w:r w:rsidR="00CF1120">
        <w:rPr>
          <w:i/>
          <w:sz w:val="26"/>
          <w:szCs w:val="26"/>
        </w:rPr>
        <w:t xml:space="preserve"> change your approach to FSMA?</w:t>
      </w:r>
    </w:p>
    <w:p w14:paraId="2BE90174" w14:textId="220E6D5D" w:rsidR="004D6917" w:rsidRDefault="001476DA" w:rsidP="004D6917">
      <w:r>
        <w:t xml:space="preserve">When asked “Did you meet someone new?” 42 </w:t>
      </w:r>
      <w:r w:rsidR="00E20FAC">
        <w:t>(</w:t>
      </w:r>
      <w:r w:rsidR="00C711BC">
        <w:t>98</w:t>
      </w:r>
      <w:r w:rsidR="00E20FAC">
        <w:t xml:space="preserve">%) </w:t>
      </w:r>
      <w:r>
        <w:t>respondents answered “Yes.”  Attendees were asked “</w:t>
      </w:r>
      <w:r w:rsidR="00213A47">
        <w:t>How do you expect this new</w:t>
      </w:r>
      <w:r>
        <w:t xml:space="preserve"> relationship to change your approach to FSMA and food safety in general?” </w:t>
      </w:r>
      <w:r w:rsidR="00E20FAC">
        <w:t>O</w:t>
      </w:r>
      <w:r>
        <w:t xml:space="preserve">ne </w:t>
      </w:r>
      <w:r w:rsidR="00213A47">
        <w:t xml:space="preserve">nearly unanimous </w:t>
      </w:r>
      <w:r>
        <w:t>theme emerged:</w:t>
      </w:r>
      <w:r w:rsidR="00E20FAC">
        <w:t xml:space="preserve"> change will occur through enhanced</w:t>
      </w:r>
      <w:r>
        <w:t xml:space="preserve"> networking and </w:t>
      </w:r>
      <w:r w:rsidR="00E20FAC">
        <w:t xml:space="preserve">improved </w:t>
      </w:r>
      <w:r>
        <w:t xml:space="preserve">communication.  </w:t>
      </w:r>
      <w:r w:rsidR="004D6917">
        <w:t xml:space="preserve">Respondents described either broadly or specifically how these new relationship(s) provide for enhanced networking and communication.  For example, some respondents explained planned intentions to, for example, co-teach or send questions to colleagues while others highlighted potential opportunities for exploration of on-farm education and regional collaboration and funding opportunities.  Overall, respondents cited that these new relationship(s) “will help to facilitate future lines of communication,” that it is “always beneficial to expand range of resources to help…improve your…program” and that this networking opportunity was the “best part of the conference.” </w:t>
      </w:r>
    </w:p>
    <w:p w14:paraId="17920419" w14:textId="347928EE" w:rsidR="00213A47" w:rsidRDefault="001476DA" w:rsidP="0078730D">
      <w:r>
        <w:lastRenderedPageBreak/>
        <w:t>Several subthemes also emerged</w:t>
      </w:r>
      <w:r w:rsidR="004D6917">
        <w:t xml:space="preserve"> in response to this question</w:t>
      </w:r>
      <w:r>
        <w:t xml:space="preserve">, including: sharing of resources, collaboration on education/research/funding, help answering stakeholder questions, strengthened contacts, coordination that leads </w:t>
      </w:r>
      <w:r w:rsidR="00213A47">
        <w:t>to enhanced project outputs,</w:t>
      </w:r>
      <w:r>
        <w:t xml:space="preserve"> </w:t>
      </w:r>
      <w:r w:rsidR="004D6917">
        <w:t xml:space="preserve">and </w:t>
      </w:r>
      <w:r>
        <w:t xml:space="preserve">enhancement of current projects.  </w:t>
      </w:r>
    </w:p>
    <w:p w14:paraId="2ABAD7F8" w14:textId="2723F5F9" w:rsidR="00002D0F" w:rsidRDefault="001736A1" w:rsidP="0078730D">
      <w:pPr>
        <w:rPr>
          <w:i/>
          <w:sz w:val="26"/>
          <w:szCs w:val="26"/>
        </w:rPr>
      </w:pPr>
      <w:r>
        <w:rPr>
          <w:i/>
          <w:sz w:val="26"/>
          <w:szCs w:val="26"/>
        </w:rPr>
        <w:t>What f</w:t>
      </w:r>
      <w:r w:rsidR="007F617E">
        <w:rPr>
          <w:i/>
          <w:sz w:val="26"/>
          <w:szCs w:val="26"/>
        </w:rPr>
        <w:t>ood safety challenge</w:t>
      </w:r>
      <w:r w:rsidR="00AC03AD">
        <w:rPr>
          <w:i/>
          <w:sz w:val="26"/>
          <w:szCs w:val="26"/>
        </w:rPr>
        <w:t>s</w:t>
      </w:r>
      <w:r w:rsidR="007F617E">
        <w:rPr>
          <w:i/>
          <w:sz w:val="26"/>
          <w:szCs w:val="26"/>
        </w:rPr>
        <w:t xml:space="preserve"> you see?</w:t>
      </w:r>
    </w:p>
    <w:p w14:paraId="5CFC0EE6" w14:textId="03B3C5A0" w:rsidR="007F617E" w:rsidRDefault="00CF5E52" w:rsidP="0078730D">
      <w:pPr>
        <w:rPr>
          <w:szCs w:val="26"/>
        </w:rPr>
      </w:pPr>
      <w:r>
        <w:rPr>
          <w:szCs w:val="26"/>
        </w:rPr>
        <w:t xml:space="preserve">Answers to the evaluation question “What is the key food safety challenge you see in our region and/or in your state?” resulted in one broad common theme: implementation and compliance of FSMA.  Subthemes also emerged, including: </w:t>
      </w:r>
      <w:r w:rsidR="001736A1">
        <w:rPr>
          <w:szCs w:val="26"/>
        </w:rPr>
        <w:t xml:space="preserve">(1) </w:t>
      </w:r>
      <w:r>
        <w:rPr>
          <w:szCs w:val="26"/>
        </w:rPr>
        <w:t xml:space="preserve">need for communication, research, education and qualified personal, </w:t>
      </w:r>
      <w:r w:rsidR="001736A1">
        <w:rPr>
          <w:szCs w:val="26"/>
        </w:rPr>
        <w:t xml:space="preserve">(2) </w:t>
      </w:r>
      <w:r>
        <w:rPr>
          <w:szCs w:val="26"/>
        </w:rPr>
        <w:t xml:space="preserve">engagement of hard to reach audiences, </w:t>
      </w:r>
      <w:r w:rsidR="001736A1">
        <w:rPr>
          <w:szCs w:val="26"/>
        </w:rPr>
        <w:t xml:space="preserve">(3) </w:t>
      </w:r>
      <w:r>
        <w:rPr>
          <w:szCs w:val="26"/>
        </w:rPr>
        <w:t>lack of funding,</w:t>
      </w:r>
      <w:r w:rsidR="003030DC">
        <w:rPr>
          <w:szCs w:val="26"/>
        </w:rPr>
        <w:t xml:space="preserve"> </w:t>
      </w:r>
      <w:r w:rsidR="001736A1">
        <w:rPr>
          <w:szCs w:val="26"/>
        </w:rPr>
        <w:t xml:space="preserve">(4) </w:t>
      </w:r>
      <w:r w:rsidR="003030DC">
        <w:rPr>
          <w:szCs w:val="26"/>
        </w:rPr>
        <w:t>audits and inspections,</w:t>
      </w:r>
      <w:r>
        <w:rPr>
          <w:szCs w:val="26"/>
        </w:rPr>
        <w:t xml:space="preserve"> and </w:t>
      </w:r>
      <w:r w:rsidR="001736A1">
        <w:rPr>
          <w:szCs w:val="26"/>
        </w:rPr>
        <w:t xml:space="preserve">(5) </w:t>
      </w:r>
      <w:r w:rsidR="0008268A">
        <w:rPr>
          <w:szCs w:val="26"/>
        </w:rPr>
        <w:t>inconsistency</w:t>
      </w:r>
      <w:r>
        <w:rPr>
          <w:szCs w:val="26"/>
        </w:rPr>
        <w:t xml:space="preserve"> of implementation across the region.  </w:t>
      </w:r>
    </w:p>
    <w:p w14:paraId="4CD4642C" w14:textId="4256D248" w:rsidR="00CF5E52" w:rsidRDefault="00B76924" w:rsidP="0078730D">
      <w:pPr>
        <w:rPr>
          <w:szCs w:val="26"/>
        </w:rPr>
      </w:pPr>
      <w:r>
        <w:rPr>
          <w:szCs w:val="26"/>
        </w:rPr>
        <w:t xml:space="preserve">Respondents reported challenges around implementation and compliance of FSMA for various reasons.  While the rule has been released, there is concern that the industry lacks guidance and clarity from the </w:t>
      </w:r>
      <w:r w:rsidR="00120C63">
        <w:rPr>
          <w:szCs w:val="26"/>
        </w:rPr>
        <w:t>Food and Drug Administration (</w:t>
      </w:r>
      <w:r>
        <w:rPr>
          <w:szCs w:val="26"/>
        </w:rPr>
        <w:t>FDA</w:t>
      </w:r>
      <w:r w:rsidR="00120C63">
        <w:rPr>
          <w:szCs w:val="26"/>
        </w:rPr>
        <w:t>)</w:t>
      </w:r>
      <w:r w:rsidR="003030DC">
        <w:rPr>
          <w:szCs w:val="26"/>
        </w:rPr>
        <w:t>, leading to industry</w:t>
      </w:r>
      <w:r w:rsidR="00120C63">
        <w:rPr>
          <w:szCs w:val="26"/>
        </w:rPr>
        <w:t xml:space="preserve"> (growers and processors)</w:t>
      </w:r>
      <w:r w:rsidR="003030DC">
        <w:rPr>
          <w:szCs w:val="26"/>
        </w:rPr>
        <w:t xml:space="preserve"> not understand</w:t>
      </w:r>
      <w:r w:rsidR="00372531">
        <w:rPr>
          <w:szCs w:val="26"/>
        </w:rPr>
        <w:t>ing</w:t>
      </w:r>
      <w:r w:rsidR="003030DC">
        <w:rPr>
          <w:szCs w:val="26"/>
        </w:rPr>
        <w:t xml:space="preserve"> how the rule applies on an individual basis</w:t>
      </w:r>
      <w:r>
        <w:rPr>
          <w:szCs w:val="26"/>
        </w:rPr>
        <w:t>.  Additionally, there are not sufficient resources (financial, educational, and outreach</w:t>
      </w:r>
      <w:r w:rsidR="00372531">
        <w:rPr>
          <w:szCs w:val="26"/>
        </w:rPr>
        <w:t xml:space="preserve"> personnel</w:t>
      </w:r>
      <w:r>
        <w:rPr>
          <w:szCs w:val="26"/>
        </w:rPr>
        <w:t xml:space="preserve">) available to help industry with implementation efforts, resulting in </w:t>
      </w:r>
      <w:r w:rsidR="00372531">
        <w:rPr>
          <w:szCs w:val="26"/>
        </w:rPr>
        <w:t xml:space="preserve">confusion around the rule and </w:t>
      </w:r>
      <w:r>
        <w:rPr>
          <w:szCs w:val="26"/>
        </w:rPr>
        <w:t>the perception th</w:t>
      </w:r>
      <w:r w:rsidR="003030DC">
        <w:rPr>
          <w:szCs w:val="26"/>
        </w:rPr>
        <w:t>at compliance is impossible</w:t>
      </w:r>
      <w:r w:rsidR="00804D65">
        <w:rPr>
          <w:szCs w:val="26"/>
        </w:rPr>
        <w:t xml:space="preserve">.  Attendees also reported </w:t>
      </w:r>
      <w:r w:rsidR="00372531">
        <w:rPr>
          <w:szCs w:val="26"/>
        </w:rPr>
        <w:t xml:space="preserve">a </w:t>
      </w:r>
      <w:r w:rsidR="00804D65">
        <w:rPr>
          <w:szCs w:val="26"/>
        </w:rPr>
        <w:t>lack of acceptance</w:t>
      </w:r>
      <w:r w:rsidR="00120C63">
        <w:rPr>
          <w:szCs w:val="26"/>
        </w:rPr>
        <w:t xml:space="preserve"> among growers and processors</w:t>
      </w:r>
      <w:r w:rsidR="00804D65">
        <w:rPr>
          <w:szCs w:val="26"/>
        </w:rPr>
        <w:t xml:space="preserve"> </w:t>
      </w:r>
      <w:r w:rsidR="003030DC">
        <w:rPr>
          <w:szCs w:val="26"/>
        </w:rPr>
        <w:t>or the deeply held belief that “food safety is extremely cumbersome and expensive”</w:t>
      </w:r>
      <w:r w:rsidR="00804D65">
        <w:rPr>
          <w:szCs w:val="26"/>
        </w:rPr>
        <w:t xml:space="preserve"> as a challenge</w:t>
      </w:r>
      <w:r w:rsidR="005C69B5">
        <w:rPr>
          <w:szCs w:val="26"/>
        </w:rPr>
        <w:t xml:space="preserve">.  Additionally, attendees reported that there are many on-farm and in-facility changes needed for industry to become compliant.  </w:t>
      </w:r>
      <w:r w:rsidR="00372531">
        <w:rPr>
          <w:szCs w:val="26"/>
        </w:rPr>
        <w:t>R</w:t>
      </w:r>
      <w:r w:rsidR="005C69B5">
        <w:rPr>
          <w:szCs w:val="26"/>
        </w:rPr>
        <w:t>espondents explained the need to “tailor resources” to meet the</w:t>
      </w:r>
      <w:r w:rsidR="00372531">
        <w:rPr>
          <w:szCs w:val="26"/>
        </w:rPr>
        <w:t xml:space="preserve"> varying needs of producers and processor based on size and individual needs, including </w:t>
      </w:r>
      <w:r w:rsidR="005C69B5">
        <w:rPr>
          <w:szCs w:val="26"/>
        </w:rPr>
        <w:t>training delivery</w:t>
      </w:r>
      <w:r w:rsidR="00372531">
        <w:rPr>
          <w:szCs w:val="26"/>
        </w:rPr>
        <w:t>,</w:t>
      </w:r>
      <w:r w:rsidR="005C69B5">
        <w:rPr>
          <w:szCs w:val="26"/>
        </w:rPr>
        <w:t xml:space="preserve"> research</w:t>
      </w:r>
      <w:r w:rsidR="00372531">
        <w:rPr>
          <w:szCs w:val="26"/>
        </w:rPr>
        <w:t>,</w:t>
      </w:r>
      <w:r w:rsidR="005C69B5">
        <w:rPr>
          <w:szCs w:val="26"/>
        </w:rPr>
        <w:t xml:space="preserve"> and technical support.  </w:t>
      </w:r>
    </w:p>
    <w:p w14:paraId="768EE2CF" w14:textId="775D488E" w:rsidR="00C9563A" w:rsidRDefault="00C9563A" w:rsidP="00AC03AD">
      <w:pPr>
        <w:rPr>
          <w:szCs w:val="26"/>
        </w:rPr>
      </w:pPr>
      <w:r>
        <w:rPr>
          <w:szCs w:val="26"/>
        </w:rPr>
        <w:t>Respondents were particularly concerned with challenges surrounding</w:t>
      </w:r>
      <w:r w:rsidR="003030DC">
        <w:rPr>
          <w:szCs w:val="26"/>
        </w:rPr>
        <w:t xml:space="preserve"> engaging hard to reach audiences.  Respondents </w:t>
      </w:r>
      <w:r w:rsidR="00D83C4A">
        <w:rPr>
          <w:szCs w:val="26"/>
        </w:rPr>
        <w:t>reported that they struggle with reaching industry</w:t>
      </w:r>
      <w:r>
        <w:rPr>
          <w:szCs w:val="26"/>
        </w:rPr>
        <w:t xml:space="preserve"> stakeholders who are</w:t>
      </w:r>
      <w:r w:rsidR="00D83C4A">
        <w:rPr>
          <w:szCs w:val="26"/>
        </w:rPr>
        <w:t xml:space="preserve"> impacted by the rule</w:t>
      </w:r>
      <w:r>
        <w:rPr>
          <w:szCs w:val="26"/>
        </w:rPr>
        <w:t>, but who</w:t>
      </w:r>
      <w:r w:rsidR="00D83C4A">
        <w:rPr>
          <w:szCs w:val="26"/>
        </w:rPr>
        <w:t xml:space="preserve"> think</w:t>
      </w:r>
      <w:r>
        <w:rPr>
          <w:szCs w:val="26"/>
        </w:rPr>
        <w:t xml:space="preserve"> that</w:t>
      </w:r>
      <w:r w:rsidR="00D83C4A">
        <w:rPr>
          <w:szCs w:val="26"/>
        </w:rPr>
        <w:t xml:space="preserve"> it does not apply to them or are unaware of it.  This audience is often very small and </w:t>
      </w:r>
      <w:r>
        <w:rPr>
          <w:szCs w:val="26"/>
        </w:rPr>
        <w:t>dispersed,</w:t>
      </w:r>
      <w:r w:rsidR="00D83C4A">
        <w:rPr>
          <w:szCs w:val="26"/>
        </w:rPr>
        <w:t xml:space="preserve"> making them hard to identify and locate</w:t>
      </w:r>
      <w:r>
        <w:rPr>
          <w:szCs w:val="26"/>
        </w:rPr>
        <w:t>. They are not currently</w:t>
      </w:r>
      <w:r w:rsidR="00376808">
        <w:rPr>
          <w:szCs w:val="26"/>
        </w:rPr>
        <w:t xml:space="preserve"> attending trainings or being included in farm inventories. </w:t>
      </w:r>
      <w:r w:rsidR="00AC03AD">
        <w:rPr>
          <w:szCs w:val="26"/>
        </w:rPr>
        <w:t xml:space="preserve"> </w:t>
      </w:r>
    </w:p>
    <w:p w14:paraId="371BC0A4" w14:textId="59EABD03" w:rsidR="00714C06" w:rsidRDefault="00AC03AD" w:rsidP="00AC03AD">
      <w:pPr>
        <w:rPr>
          <w:szCs w:val="26"/>
        </w:rPr>
      </w:pPr>
      <w:r>
        <w:rPr>
          <w:szCs w:val="26"/>
        </w:rPr>
        <w:t>R</w:t>
      </w:r>
      <w:r w:rsidR="0005108B">
        <w:rPr>
          <w:szCs w:val="26"/>
        </w:rPr>
        <w:t xml:space="preserve">espondents </w:t>
      </w:r>
      <w:r w:rsidR="00C9563A">
        <w:rPr>
          <w:szCs w:val="26"/>
        </w:rPr>
        <w:t xml:space="preserve">also </w:t>
      </w:r>
      <w:r w:rsidR="0005108B">
        <w:rPr>
          <w:szCs w:val="26"/>
        </w:rPr>
        <w:t>cited confusion around audits and inspections as a significant challenge.  There are multiple state and national audit programs which are different from each other</w:t>
      </w:r>
      <w:r w:rsidR="00C9563A">
        <w:rPr>
          <w:szCs w:val="26"/>
        </w:rPr>
        <w:t>, in addition to</w:t>
      </w:r>
      <w:r w:rsidR="0005108B">
        <w:rPr>
          <w:szCs w:val="26"/>
        </w:rPr>
        <w:t xml:space="preserve"> </w:t>
      </w:r>
      <w:r w:rsidR="00C9563A">
        <w:rPr>
          <w:szCs w:val="26"/>
        </w:rPr>
        <w:t>the</w:t>
      </w:r>
      <w:r w:rsidR="0005108B">
        <w:rPr>
          <w:szCs w:val="26"/>
        </w:rPr>
        <w:t xml:space="preserve"> FSMA inspection</w:t>
      </w:r>
      <w:r w:rsidR="00C9563A">
        <w:rPr>
          <w:szCs w:val="26"/>
        </w:rPr>
        <w:t>. There is</w:t>
      </w:r>
      <w:r w:rsidR="0005108B">
        <w:rPr>
          <w:szCs w:val="26"/>
        </w:rPr>
        <w:t xml:space="preserve"> </w:t>
      </w:r>
      <w:r w:rsidR="00C9563A">
        <w:rPr>
          <w:szCs w:val="26"/>
        </w:rPr>
        <w:t>currently</w:t>
      </w:r>
      <w:r w:rsidR="0005108B">
        <w:rPr>
          <w:szCs w:val="26"/>
        </w:rPr>
        <w:t xml:space="preserve"> confusion around expectations and requirements among industry members.  </w:t>
      </w:r>
    </w:p>
    <w:p w14:paraId="107682E1" w14:textId="1D61F050" w:rsidR="00BA138D" w:rsidRDefault="00AC03AD" w:rsidP="00AC03AD">
      <w:pPr>
        <w:rPr>
          <w:szCs w:val="32"/>
        </w:rPr>
      </w:pPr>
      <w:r>
        <w:rPr>
          <w:szCs w:val="32"/>
        </w:rPr>
        <w:t xml:space="preserve">Attendees often included multiple responses that corresponded with several themes, identifying more than one food safety challenge in the region of state. </w:t>
      </w:r>
      <w:r w:rsidR="00BA138D">
        <w:rPr>
          <w:szCs w:val="32"/>
        </w:rPr>
        <w:t xml:space="preserve">These articulated challenges show a need for continued emphasis on communication across stakeholder groups, outreach, education, research, and technical support.   </w:t>
      </w:r>
    </w:p>
    <w:p w14:paraId="2D87AFDB" w14:textId="77777777" w:rsidR="00E70A5F" w:rsidRDefault="00E70A5F" w:rsidP="00E70A5F">
      <w:pPr>
        <w:rPr>
          <w:sz w:val="32"/>
          <w:szCs w:val="32"/>
        </w:rPr>
      </w:pPr>
      <w:r w:rsidRPr="009106BE">
        <w:rPr>
          <w:sz w:val="32"/>
          <w:szCs w:val="32"/>
        </w:rPr>
        <w:t xml:space="preserve">NECAFS </w:t>
      </w:r>
      <w:r>
        <w:rPr>
          <w:sz w:val="32"/>
          <w:szCs w:val="32"/>
        </w:rPr>
        <w:t xml:space="preserve">Ongoing Resources </w:t>
      </w:r>
      <w:r w:rsidRPr="009106BE">
        <w:rPr>
          <w:sz w:val="32"/>
          <w:szCs w:val="32"/>
        </w:rPr>
        <w:t>Impact Results</w:t>
      </w:r>
    </w:p>
    <w:p w14:paraId="49722E4A" w14:textId="12FA278E" w:rsidR="00E70A5F" w:rsidRDefault="00714C06" w:rsidP="00E70A5F">
      <w:r>
        <w:t xml:space="preserve">Some attendees who needed financial support to attend the Annual </w:t>
      </w:r>
      <w:r w:rsidR="00120C63">
        <w:t>C</w:t>
      </w:r>
      <w:r>
        <w:t xml:space="preserve">onference and </w:t>
      </w:r>
      <w:r w:rsidR="00120C63">
        <w:t>M</w:t>
      </w:r>
      <w:r>
        <w:t xml:space="preserve">eeting were offered travel reimbursements to make their attendance possible. These </w:t>
      </w:r>
      <w:r w:rsidR="00AB460B">
        <w:t xml:space="preserve">attendees </w:t>
      </w:r>
      <w:r>
        <w:t>were asked</w:t>
      </w:r>
      <w:r w:rsidR="00AB460B">
        <w:t xml:space="preserve"> “how important was that support?”  Of the 32 attendees that requested </w:t>
      </w:r>
      <w:r>
        <w:t>financial</w:t>
      </w:r>
      <w:r w:rsidR="00AB460B">
        <w:t xml:space="preserve"> support, 17 indicated that the support was critical to making their attendance possible</w:t>
      </w:r>
      <w:r w:rsidR="00120C63">
        <w:t xml:space="preserve"> while the remaining reported that the support was helpful but that they would have attended the Annual Conference and Meeting without it.</w:t>
      </w:r>
      <w:r w:rsidR="00120C63" w:rsidDel="00120C63">
        <w:t xml:space="preserve"> </w:t>
      </w:r>
    </w:p>
    <w:p w14:paraId="3C669C88" w14:textId="5A7BEBBA" w:rsidR="00DE54C4" w:rsidRDefault="00DE54C4" w:rsidP="00E70A5F">
      <w:pPr>
        <w:rPr>
          <w:szCs w:val="32"/>
        </w:rPr>
      </w:pPr>
      <w:r>
        <w:lastRenderedPageBreak/>
        <w:t xml:space="preserve">When asked “Has NECAFS helped you improve your food safety training, education and/or outreach?” 36 </w:t>
      </w:r>
      <w:r w:rsidR="00EB4D08">
        <w:t>(</w:t>
      </w:r>
      <w:r w:rsidR="00120C63">
        <w:t>92</w:t>
      </w:r>
      <w:r w:rsidR="00EB4D08">
        <w:t xml:space="preserve">%) </w:t>
      </w:r>
      <w:r>
        <w:t xml:space="preserve">respondents answered “Yes.”  </w:t>
      </w:r>
      <w:r w:rsidR="0090784B">
        <w:t>Answers to the follow-up evaluation question “If so, how?”</w:t>
      </w:r>
      <w:r w:rsidR="00D966B9">
        <w:t xml:space="preserve"> </w:t>
      </w:r>
      <w:r w:rsidR="00D966B9">
        <w:rPr>
          <w:szCs w:val="32"/>
        </w:rPr>
        <w:t xml:space="preserve">resulted in themes </w:t>
      </w:r>
      <w:r w:rsidR="00EB4D08">
        <w:rPr>
          <w:szCs w:val="32"/>
        </w:rPr>
        <w:t>focused on the value of</w:t>
      </w:r>
      <w:r w:rsidR="00D966B9">
        <w:rPr>
          <w:szCs w:val="32"/>
        </w:rPr>
        <w:t xml:space="preserve"> </w:t>
      </w:r>
      <w:r w:rsidR="00A32F50">
        <w:rPr>
          <w:szCs w:val="32"/>
        </w:rPr>
        <w:t>networking and communication</w:t>
      </w:r>
      <w:r w:rsidR="00EB4D08">
        <w:rPr>
          <w:szCs w:val="32"/>
        </w:rPr>
        <w:t>,</w:t>
      </w:r>
      <w:r w:rsidR="002A429D">
        <w:rPr>
          <w:szCs w:val="32"/>
        </w:rPr>
        <w:t xml:space="preserve"> a</w:t>
      </w:r>
      <w:r w:rsidR="00EB4D08">
        <w:rPr>
          <w:szCs w:val="32"/>
        </w:rPr>
        <w:t>s well as</w:t>
      </w:r>
      <w:r w:rsidR="002A429D">
        <w:rPr>
          <w:szCs w:val="32"/>
        </w:rPr>
        <w:t xml:space="preserve"> </w:t>
      </w:r>
      <w:r w:rsidR="00A32F50">
        <w:rPr>
          <w:szCs w:val="32"/>
        </w:rPr>
        <w:t xml:space="preserve">sharing of resources and information.  </w:t>
      </w:r>
      <w:r w:rsidR="00EB4D08">
        <w:rPr>
          <w:szCs w:val="32"/>
        </w:rPr>
        <w:t>N</w:t>
      </w:r>
      <w:r w:rsidR="00A32F50">
        <w:rPr>
          <w:szCs w:val="32"/>
        </w:rPr>
        <w:t>etworking that led to training delivery and</w:t>
      </w:r>
      <w:r w:rsidR="00B07F1C">
        <w:rPr>
          <w:szCs w:val="32"/>
        </w:rPr>
        <w:t xml:space="preserve"> direct </w:t>
      </w:r>
      <w:r w:rsidR="00A32F50">
        <w:rPr>
          <w:szCs w:val="32"/>
        </w:rPr>
        <w:t>funding</w:t>
      </w:r>
      <w:r w:rsidR="00EB4D08">
        <w:rPr>
          <w:szCs w:val="32"/>
        </w:rPr>
        <w:t xml:space="preserve"> were also cited by respondents, though less frequently</w:t>
      </w:r>
      <w:r w:rsidR="00A32F50">
        <w:rPr>
          <w:szCs w:val="32"/>
        </w:rPr>
        <w:t xml:space="preserve">. </w:t>
      </w:r>
    </w:p>
    <w:p w14:paraId="2E6342E9" w14:textId="0B6531B5" w:rsidR="000F72F4" w:rsidRDefault="00A32F50" w:rsidP="00FB1419">
      <w:pPr>
        <w:rPr>
          <w:sz w:val="32"/>
          <w:szCs w:val="44"/>
        </w:rPr>
      </w:pPr>
      <w:r>
        <w:rPr>
          <w:szCs w:val="32"/>
        </w:rPr>
        <w:t xml:space="preserve">Overwhelmingly, attendees reported that NECAFS </w:t>
      </w:r>
      <w:r w:rsidR="00B07F1C">
        <w:rPr>
          <w:szCs w:val="32"/>
        </w:rPr>
        <w:t>activities around sharing of resources and information</w:t>
      </w:r>
      <w:r>
        <w:rPr>
          <w:szCs w:val="32"/>
        </w:rPr>
        <w:t xml:space="preserve"> has led to successful networking and communication across the network.  One attendee stated that networking is “gold” while another said that is it the “biggest thing” </w:t>
      </w:r>
      <w:r w:rsidR="002A429D">
        <w:rPr>
          <w:szCs w:val="32"/>
        </w:rPr>
        <w:t>th</w:t>
      </w:r>
      <w:r w:rsidR="0087410C">
        <w:rPr>
          <w:szCs w:val="32"/>
        </w:rPr>
        <w:t>at</w:t>
      </w:r>
      <w:r w:rsidR="002A429D">
        <w:rPr>
          <w:szCs w:val="32"/>
        </w:rPr>
        <w:t xml:space="preserve"> NECAFS provides.  </w:t>
      </w:r>
      <w:r w:rsidR="00B07F1C">
        <w:rPr>
          <w:szCs w:val="32"/>
        </w:rPr>
        <w:t>S</w:t>
      </w:r>
      <w:r w:rsidR="002A429D">
        <w:rPr>
          <w:szCs w:val="32"/>
        </w:rPr>
        <w:t xml:space="preserve">haring of resources and information </w:t>
      </w:r>
      <w:r w:rsidR="00B07F1C">
        <w:rPr>
          <w:szCs w:val="32"/>
        </w:rPr>
        <w:t>include</w:t>
      </w:r>
      <w:r w:rsidR="00EB4D08">
        <w:rPr>
          <w:szCs w:val="32"/>
        </w:rPr>
        <w:t>d</w:t>
      </w:r>
      <w:r w:rsidR="00B07F1C">
        <w:rPr>
          <w:szCs w:val="32"/>
        </w:rPr>
        <w:t xml:space="preserve"> the</w:t>
      </w:r>
      <w:r w:rsidR="002A429D">
        <w:rPr>
          <w:szCs w:val="32"/>
        </w:rPr>
        <w:t xml:space="preserve"> following NECAFS activities: topical webinars,</w:t>
      </w:r>
      <w:r w:rsidR="00EB4D08">
        <w:rPr>
          <w:szCs w:val="32"/>
        </w:rPr>
        <w:t xml:space="preserve"> the</w:t>
      </w:r>
      <w:r w:rsidR="002A429D">
        <w:rPr>
          <w:szCs w:val="32"/>
        </w:rPr>
        <w:t xml:space="preserve"> </w:t>
      </w:r>
      <w:proofErr w:type="spellStart"/>
      <w:r w:rsidR="002A429D">
        <w:rPr>
          <w:szCs w:val="32"/>
        </w:rPr>
        <w:t>eNewsletter</w:t>
      </w:r>
      <w:proofErr w:type="spellEnd"/>
      <w:r w:rsidR="002A429D">
        <w:rPr>
          <w:szCs w:val="32"/>
        </w:rPr>
        <w:t xml:space="preserve">, </w:t>
      </w:r>
      <w:r w:rsidR="00EB4D08">
        <w:rPr>
          <w:szCs w:val="32"/>
        </w:rPr>
        <w:t xml:space="preserve">the </w:t>
      </w:r>
      <w:r w:rsidR="002A429D">
        <w:rPr>
          <w:szCs w:val="32"/>
        </w:rPr>
        <w:t>Clearinghouse</w:t>
      </w:r>
      <w:r w:rsidR="004D18A5">
        <w:rPr>
          <w:szCs w:val="32"/>
        </w:rPr>
        <w:t>,</w:t>
      </w:r>
      <w:r w:rsidR="002A429D">
        <w:rPr>
          <w:szCs w:val="32"/>
        </w:rPr>
        <w:t xml:space="preserve"> working groups</w:t>
      </w:r>
      <w:r w:rsidR="00B07F1C">
        <w:rPr>
          <w:szCs w:val="32"/>
        </w:rPr>
        <w:t xml:space="preserve">, and </w:t>
      </w:r>
      <w:r w:rsidR="00EB4D08">
        <w:rPr>
          <w:szCs w:val="32"/>
        </w:rPr>
        <w:t xml:space="preserve">the </w:t>
      </w:r>
      <w:r w:rsidR="00B07F1C">
        <w:rPr>
          <w:szCs w:val="32"/>
        </w:rPr>
        <w:t xml:space="preserve">Annual Meeting and Conference.  One attendee reported that these activities “have given [him] ideas of how to improve </w:t>
      </w:r>
      <w:r w:rsidR="00120C63">
        <w:rPr>
          <w:szCs w:val="32"/>
        </w:rPr>
        <w:t xml:space="preserve">[his] </w:t>
      </w:r>
      <w:r w:rsidR="00B07F1C">
        <w:rPr>
          <w:szCs w:val="32"/>
        </w:rPr>
        <w:t xml:space="preserve">program...to branch out to other people…[and] great insight on what has and what hasn’t been working.”  </w:t>
      </w:r>
    </w:p>
    <w:p w14:paraId="7722C7FF" w14:textId="4BE25A7D" w:rsidR="00FB1419" w:rsidRPr="00A14CC3" w:rsidRDefault="00A14CC3" w:rsidP="00FB1419">
      <w:pPr>
        <w:rPr>
          <w:i/>
          <w:sz w:val="26"/>
          <w:szCs w:val="26"/>
        </w:rPr>
      </w:pPr>
      <w:r w:rsidRPr="00A14CC3">
        <w:rPr>
          <w:i/>
          <w:noProof/>
          <w:sz w:val="26"/>
          <w:szCs w:val="26"/>
        </w:rPr>
        <w:drawing>
          <wp:anchor distT="0" distB="0" distL="114300" distR="114300" simplePos="0" relativeHeight="251661312" behindDoc="1" locked="0" layoutInCell="1" allowOverlap="1" wp14:anchorId="006C9C5C" wp14:editId="0FC74E26">
            <wp:simplePos x="0" y="0"/>
            <wp:positionH relativeFrom="margin">
              <wp:posOffset>3256280</wp:posOffset>
            </wp:positionH>
            <wp:positionV relativeFrom="paragraph">
              <wp:posOffset>304800</wp:posOffset>
            </wp:positionV>
            <wp:extent cx="3378200" cy="2139950"/>
            <wp:effectExtent l="0" t="0" r="12700" b="12700"/>
            <wp:wrapTight wrapText="bothSides">
              <wp:wrapPolygon edited="0">
                <wp:start x="0" y="0"/>
                <wp:lineTo x="0" y="21536"/>
                <wp:lineTo x="21559" y="21536"/>
                <wp:lineTo x="21559"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FB1419" w:rsidRPr="00A14CC3">
        <w:rPr>
          <w:i/>
          <w:sz w:val="26"/>
          <w:szCs w:val="26"/>
        </w:rPr>
        <w:t xml:space="preserve">Regional Communication </w:t>
      </w:r>
    </w:p>
    <w:p w14:paraId="0C5F69A4" w14:textId="4FBE201A" w:rsidR="0045552A" w:rsidRDefault="00F97FA0" w:rsidP="003D636C">
      <w:r>
        <w:t>Attendee</w:t>
      </w:r>
      <w:r w:rsidR="0045552A">
        <w:t>s were asked how they would rate</w:t>
      </w:r>
      <w:r>
        <w:t xml:space="preserve"> NECAFS in the area of regional communication about food safety topics.  </w:t>
      </w:r>
      <w:r w:rsidR="00F00EBB">
        <w:t>The following were provided as examples of this area of work:</w:t>
      </w:r>
      <w:r>
        <w:t xml:space="preserve"> </w:t>
      </w:r>
      <w:proofErr w:type="spellStart"/>
      <w:r>
        <w:t>enewsletters</w:t>
      </w:r>
      <w:proofErr w:type="spellEnd"/>
      <w:r>
        <w:t xml:space="preserve"> and</w:t>
      </w:r>
      <w:r w:rsidR="00EB4D08">
        <w:t xml:space="preserve"> the</w:t>
      </w:r>
      <w:r>
        <w:t xml:space="preserve"> website.  </w:t>
      </w:r>
      <w:r w:rsidRPr="0045552A">
        <w:rPr>
          <w:b/>
        </w:rPr>
        <w:t>Figure 1</w:t>
      </w:r>
      <w:r>
        <w:t xml:space="preserve"> shows that on a scale of 1 to 5</w:t>
      </w:r>
      <w:r w:rsidR="00EB4D08">
        <w:t>,</w:t>
      </w:r>
      <w:r>
        <w:t xml:space="preserve"> where 1 is poor and 5 is excellent, the majority of respondents</w:t>
      </w:r>
      <w:r w:rsidR="0045552A">
        <w:t xml:space="preserve"> (n=18</w:t>
      </w:r>
      <w:r w:rsidR="00EB4D08">
        <w:t>, 46%</w:t>
      </w:r>
      <w:r w:rsidR="0045552A">
        <w:t>) rat</w:t>
      </w:r>
      <w:r>
        <w:t>ed NECAFS regional communication as excellent</w:t>
      </w:r>
      <w:r w:rsidR="00EB4D08">
        <w:t xml:space="preserve"> </w:t>
      </w:r>
      <w:r>
        <w:t>with a ranking of 5.  At 41%</w:t>
      </w:r>
      <w:r w:rsidR="0045552A">
        <w:t xml:space="preserve"> (n=16), respondents rated NECAFS regional communication as a 4.  Finally, 13% (n=5) of respondents rated this activity as a 3.    </w:t>
      </w:r>
      <w:r w:rsidR="003D636C">
        <w:t xml:space="preserve">                          </w:t>
      </w:r>
    </w:p>
    <w:p w14:paraId="4364708D" w14:textId="6E9CC3F6" w:rsidR="00FB1419" w:rsidRPr="00A14CC3" w:rsidRDefault="00CE4BC0" w:rsidP="0045552A">
      <w:pPr>
        <w:rPr>
          <w:i/>
          <w:sz w:val="26"/>
          <w:szCs w:val="26"/>
        </w:rPr>
      </w:pPr>
      <w:r w:rsidRPr="00A14CC3">
        <w:rPr>
          <w:i/>
          <w:sz w:val="26"/>
          <w:szCs w:val="26"/>
        </w:rPr>
        <w:t xml:space="preserve">Regional Capacity, </w:t>
      </w:r>
      <w:r w:rsidR="00FB1419" w:rsidRPr="00A14CC3">
        <w:rPr>
          <w:i/>
          <w:sz w:val="26"/>
          <w:szCs w:val="26"/>
        </w:rPr>
        <w:t xml:space="preserve">Competency and Collaboration </w:t>
      </w:r>
    </w:p>
    <w:p w14:paraId="7F3E9EFF" w14:textId="37B41F09" w:rsidR="008723E9" w:rsidRDefault="00A14CC3" w:rsidP="008723E9">
      <w:r w:rsidRPr="00A14CC3">
        <w:rPr>
          <w:i/>
          <w:noProof/>
          <w:sz w:val="26"/>
          <w:szCs w:val="26"/>
        </w:rPr>
        <w:drawing>
          <wp:anchor distT="0" distB="0" distL="114300" distR="114300" simplePos="0" relativeHeight="251662336" behindDoc="1" locked="0" layoutInCell="1" allowOverlap="1" wp14:anchorId="3A1726CC" wp14:editId="5D5DB121">
            <wp:simplePos x="0" y="0"/>
            <wp:positionH relativeFrom="column">
              <wp:posOffset>3282950</wp:posOffset>
            </wp:positionH>
            <wp:positionV relativeFrom="paragraph">
              <wp:posOffset>4445</wp:posOffset>
            </wp:positionV>
            <wp:extent cx="3351530" cy="2159000"/>
            <wp:effectExtent l="0" t="0" r="1270" b="12700"/>
            <wp:wrapTight wrapText="bothSides">
              <wp:wrapPolygon edited="0">
                <wp:start x="0" y="0"/>
                <wp:lineTo x="0" y="21536"/>
                <wp:lineTo x="21485" y="21536"/>
                <wp:lineTo x="21485"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8723E9">
        <w:t xml:space="preserve">Attendees were asked how they would rate NECAFS in the area of regional capacity, competency and collaboration.  The following were provided </w:t>
      </w:r>
      <w:r w:rsidR="003D636C">
        <w:t>as examples of this area of work</w:t>
      </w:r>
      <w:r w:rsidR="008723E9">
        <w:t xml:space="preserve">: webinars, training support stipend program and working groups.  </w:t>
      </w:r>
      <w:r w:rsidR="008723E9" w:rsidRPr="0045552A">
        <w:rPr>
          <w:b/>
        </w:rPr>
        <w:t xml:space="preserve">Figure </w:t>
      </w:r>
      <w:r w:rsidR="008723E9">
        <w:rPr>
          <w:b/>
        </w:rPr>
        <w:t>2</w:t>
      </w:r>
      <w:r w:rsidR="008723E9">
        <w:t xml:space="preserve"> shows that on a scale of 1 to 5 where 1 is poor and 5 is excellent, the respondents equally rated NECAFS regional capacity, competency and collaboration with 45% (n=18) choosing rating 5 and 45%</w:t>
      </w:r>
      <w:r w:rsidR="0008268A">
        <w:t xml:space="preserve"> </w:t>
      </w:r>
      <w:bookmarkStart w:id="0" w:name="_GoBack"/>
      <w:bookmarkEnd w:id="0"/>
      <w:r w:rsidR="008723E9">
        <w:t xml:space="preserve">(n=18) choosing rating 4.  At 8% (n=3), respondents rated NECAFS </w:t>
      </w:r>
      <w:r w:rsidR="00F6105A">
        <w:t>in this area as a 3.  Finally, 2</w:t>
      </w:r>
      <w:r w:rsidR="008723E9">
        <w:t xml:space="preserve">% (n=1) of respondents rated this activity as a 2.    </w:t>
      </w:r>
    </w:p>
    <w:p w14:paraId="3C9D3615" w14:textId="77777777" w:rsidR="00F6105A" w:rsidRDefault="00F6105A" w:rsidP="008723E9">
      <w:pPr>
        <w:rPr>
          <w:i/>
          <w:sz w:val="26"/>
          <w:szCs w:val="26"/>
        </w:rPr>
      </w:pPr>
    </w:p>
    <w:p w14:paraId="454F581A" w14:textId="77777777" w:rsidR="00F6105A" w:rsidRDefault="00F6105A" w:rsidP="008723E9">
      <w:pPr>
        <w:rPr>
          <w:i/>
          <w:sz w:val="26"/>
          <w:szCs w:val="26"/>
        </w:rPr>
      </w:pPr>
    </w:p>
    <w:p w14:paraId="20668B4F" w14:textId="5C0EF810" w:rsidR="003D636C" w:rsidRPr="00A14CC3" w:rsidRDefault="003D636C" w:rsidP="008723E9">
      <w:pPr>
        <w:rPr>
          <w:i/>
          <w:sz w:val="26"/>
          <w:szCs w:val="26"/>
        </w:rPr>
      </w:pPr>
      <w:r w:rsidRPr="00A14CC3">
        <w:rPr>
          <w:i/>
          <w:sz w:val="26"/>
          <w:szCs w:val="26"/>
        </w:rPr>
        <w:lastRenderedPageBreak/>
        <w:t>Developing and Delivering Educational Programs</w:t>
      </w:r>
    </w:p>
    <w:p w14:paraId="18FB141E" w14:textId="7566E160" w:rsidR="00CE4BC0" w:rsidRPr="00CE4BC0" w:rsidRDefault="00A14CC3" w:rsidP="0045552A">
      <w:r w:rsidRPr="00A14CC3">
        <w:rPr>
          <w:i/>
          <w:noProof/>
          <w:sz w:val="26"/>
          <w:szCs w:val="26"/>
        </w:rPr>
        <w:drawing>
          <wp:anchor distT="0" distB="0" distL="114300" distR="114300" simplePos="0" relativeHeight="251663360" behindDoc="1" locked="0" layoutInCell="1" allowOverlap="1" wp14:anchorId="5EDA2529" wp14:editId="7D435412">
            <wp:simplePos x="0" y="0"/>
            <wp:positionH relativeFrom="column">
              <wp:posOffset>3291840</wp:posOffset>
            </wp:positionH>
            <wp:positionV relativeFrom="paragraph">
              <wp:posOffset>9525</wp:posOffset>
            </wp:positionV>
            <wp:extent cx="3352800" cy="2138680"/>
            <wp:effectExtent l="0" t="0" r="0" b="13970"/>
            <wp:wrapTight wrapText="bothSides">
              <wp:wrapPolygon edited="0">
                <wp:start x="0" y="0"/>
                <wp:lineTo x="0" y="21549"/>
                <wp:lineTo x="21477" y="21549"/>
                <wp:lineTo x="21477"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3D636C">
        <w:t xml:space="preserve">Attendees were asked how they would rate NECAFS in the area of developing and delivering educational programs.  The following were provided as examples of this area of work: training delivery support, special projects grants, annual meeting, and </w:t>
      </w:r>
      <w:r w:rsidR="00514D44">
        <w:t xml:space="preserve">the </w:t>
      </w:r>
      <w:r w:rsidR="003D636C">
        <w:t xml:space="preserve">clearinghouse site.  </w:t>
      </w:r>
      <w:r w:rsidR="00F00EBB">
        <w:rPr>
          <w:b/>
        </w:rPr>
        <w:t>Figure 3</w:t>
      </w:r>
      <w:r w:rsidR="00F00EBB">
        <w:t xml:space="preserve"> shows that on a scale of 1 to 5 where 1 is poor and 5 is excellent, the majority of respondents at 44% (n=17) rated NECAFS regional communication as excellent with a ranking of 5.  At 41% (n=16), respondents rated NECAFS regional communication </w:t>
      </w:r>
      <w:r w:rsidR="00CE4BC0">
        <w:t>a</w:t>
      </w:r>
      <w:r w:rsidR="00F00EBB">
        <w:t xml:space="preserve">s a 4.  Finally, 15% (n=6) of respondents rated this activity as a 3.      </w:t>
      </w:r>
    </w:p>
    <w:sectPr w:rsidR="00CE4BC0" w:rsidRPr="00CE4BC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D174" w14:textId="77777777" w:rsidR="00394755" w:rsidRDefault="00394755" w:rsidP="008E7E5E">
      <w:pPr>
        <w:spacing w:after="0" w:line="240" w:lineRule="auto"/>
      </w:pPr>
      <w:r>
        <w:separator/>
      </w:r>
    </w:p>
  </w:endnote>
  <w:endnote w:type="continuationSeparator" w:id="0">
    <w:p w14:paraId="2FDCD5B1" w14:textId="77777777" w:rsidR="00394755" w:rsidRDefault="00394755" w:rsidP="008E7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042098"/>
      <w:docPartObj>
        <w:docPartGallery w:val="Page Numbers (Bottom of Page)"/>
        <w:docPartUnique/>
      </w:docPartObj>
    </w:sdtPr>
    <w:sdtEndPr>
      <w:rPr>
        <w:noProof/>
      </w:rPr>
    </w:sdtEndPr>
    <w:sdtContent>
      <w:p w14:paraId="41600A79" w14:textId="3067D57C" w:rsidR="0042499F" w:rsidRDefault="0042499F">
        <w:pPr>
          <w:pStyle w:val="Footer"/>
          <w:jc w:val="center"/>
        </w:pPr>
        <w:r>
          <w:fldChar w:fldCharType="begin"/>
        </w:r>
        <w:r>
          <w:instrText xml:space="preserve"> PAGE   \* MERGEFORMAT </w:instrText>
        </w:r>
        <w:r>
          <w:fldChar w:fldCharType="separate"/>
        </w:r>
        <w:r w:rsidR="0008268A">
          <w:rPr>
            <w:noProof/>
          </w:rPr>
          <w:t>7</w:t>
        </w:r>
        <w:r>
          <w:rPr>
            <w:noProof/>
          </w:rPr>
          <w:fldChar w:fldCharType="end"/>
        </w:r>
      </w:p>
    </w:sdtContent>
  </w:sdt>
  <w:p w14:paraId="24BE4692" w14:textId="77777777" w:rsidR="0042499F" w:rsidRDefault="004249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B59B4" w14:textId="77777777" w:rsidR="00394755" w:rsidRDefault="00394755" w:rsidP="008E7E5E">
      <w:pPr>
        <w:spacing w:after="0" w:line="240" w:lineRule="auto"/>
      </w:pPr>
      <w:r>
        <w:separator/>
      </w:r>
    </w:p>
  </w:footnote>
  <w:footnote w:type="continuationSeparator" w:id="0">
    <w:p w14:paraId="513579B2" w14:textId="77777777" w:rsidR="00394755" w:rsidRDefault="00394755" w:rsidP="008E7E5E">
      <w:pPr>
        <w:spacing w:after="0" w:line="240" w:lineRule="auto"/>
      </w:pPr>
      <w:r>
        <w:continuationSeparator/>
      </w:r>
    </w:p>
  </w:footnote>
  <w:footnote w:id="1">
    <w:p w14:paraId="5037E576" w14:textId="77777777" w:rsidR="008E7E5E" w:rsidRPr="00A14CC3" w:rsidRDefault="008E7E5E" w:rsidP="008E7E5E">
      <w:pPr>
        <w:rPr>
          <w:sz w:val="20"/>
          <w:szCs w:val="20"/>
        </w:rPr>
      </w:pPr>
      <w:r w:rsidRPr="00A14CC3">
        <w:rPr>
          <w:rStyle w:val="FootnoteReference"/>
          <w:sz w:val="20"/>
          <w:szCs w:val="20"/>
        </w:rPr>
        <w:footnoteRef/>
      </w:r>
      <w:r w:rsidRPr="00A14CC3">
        <w:rPr>
          <w:sz w:val="20"/>
          <w:szCs w:val="20"/>
        </w:rPr>
        <w:t xml:space="preserve"> Connecticut, Delaware, Maine, Massachusetts, Maryland, New Hampshire, New Jersey, New York, Pennsylvania, Rhode Island, Vermont, and West Virginia </w:t>
      </w:r>
    </w:p>
    <w:p w14:paraId="7DDAE518" w14:textId="2E994A57" w:rsidR="008E7E5E" w:rsidRDefault="008E7E5E">
      <w:pPr>
        <w:pStyle w:val="FootnoteText"/>
      </w:pPr>
    </w:p>
  </w:footnote>
  <w:footnote w:id="2">
    <w:p w14:paraId="054E2B66" w14:textId="1F327791" w:rsidR="00C711BC" w:rsidRDefault="00C711BC">
      <w:pPr>
        <w:pStyle w:val="FootnoteText"/>
      </w:pPr>
      <w:r>
        <w:rPr>
          <w:rStyle w:val="FootnoteReference"/>
        </w:rPr>
        <w:footnoteRef/>
      </w:r>
      <w:r>
        <w:t xml:space="preserve"> OFRR is a plan and tool-kit designed to be used by regulators and educators to prepare farmers for compliance with the FSMA Produce Safety Rule.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A0"/>
    <w:rsid w:val="00002D0F"/>
    <w:rsid w:val="00012F15"/>
    <w:rsid w:val="0005108B"/>
    <w:rsid w:val="000512A8"/>
    <w:rsid w:val="0008268A"/>
    <w:rsid w:val="000A235F"/>
    <w:rsid w:val="000C5A56"/>
    <w:rsid w:val="000F72F4"/>
    <w:rsid w:val="00120C63"/>
    <w:rsid w:val="00142037"/>
    <w:rsid w:val="001476DA"/>
    <w:rsid w:val="00154D3E"/>
    <w:rsid w:val="0015542C"/>
    <w:rsid w:val="00155CF2"/>
    <w:rsid w:val="001736A1"/>
    <w:rsid w:val="00180D22"/>
    <w:rsid w:val="001B5500"/>
    <w:rsid w:val="002076F3"/>
    <w:rsid w:val="0021185C"/>
    <w:rsid w:val="00213A47"/>
    <w:rsid w:val="00266896"/>
    <w:rsid w:val="002A429D"/>
    <w:rsid w:val="003030DC"/>
    <w:rsid w:val="00344C64"/>
    <w:rsid w:val="00370297"/>
    <w:rsid w:val="00372531"/>
    <w:rsid w:val="00376808"/>
    <w:rsid w:val="00394755"/>
    <w:rsid w:val="003D636C"/>
    <w:rsid w:val="003E78E5"/>
    <w:rsid w:val="00412FC3"/>
    <w:rsid w:val="0042211B"/>
    <w:rsid w:val="0042499F"/>
    <w:rsid w:val="0045552A"/>
    <w:rsid w:val="00494A31"/>
    <w:rsid w:val="004A1884"/>
    <w:rsid w:val="004A4669"/>
    <w:rsid w:val="004C61B9"/>
    <w:rsid w:val="004D18A5"/>
    <w:rsid w:val="004D6917"/>
    <w:rsid w:val="00514D44"/>
    <w:rsid w:val="0057540B"/>
    <w:rsid w:val="00576D94"/>
    <w:rsid w:val="005C69B5"/>
    <w:rsid w:val="006B0328"/>
    <w:rsid w:val="006D2A6D"/>
    <w:rsid w:val="006E362B"/>
    <w:rsid w:val="00714C06"/>
    <w:rsid w:val="00780E3F"/>
    <w:rsid w:val="0078730D"/>
    <w:rsid w:val="007874C3"/>
    <w:rsid w:val="007A1480"/>
    <w:rsid w:val="007D63CC"/>
    <w:rsid w:val="007F3166"/>
    <w:rsid w:val="007F617E"/>
    <w:rsid w:val="00801FFF"/>
    <w:rsid w:val="00804D65"/>
    <w:rsid w:val="00816281"/>
    <w:rsid w:val="00844963"/>
    <w:rsid w:val="00856746"/>
    <w:rsid w:val="00856C68"/>
    <w:rsid w:val="008707CF"/>
    <w:rsid w:val="008723E9"/>
    <w:rsid w:val="0087410C"/>
    <w:rsid w:val="008D3A97"/>
    <w:rsid w:val="008E7E5E"/>
    <w:rsid w:val="0090359E"/>
    <w:rsid w:val="0090784B"/>
    <w:rsid w:val="009106BE"/>
    <w:rsid w:val="00933FEE"/>
    <w:rsid w:val="009449A2"/>
    <w:rsid w:val="00994047"/>
    <w:rsid w:val="009A49DB"/>
    <w:rsid w:val="009C68ED"/>
    <w:rsid w:val="00A14CC3"/>
    <w:rsid w:val="00A32F50"/>
    <w:rsid w:val="00A86F56"/>
    <w:rsid w:val="00AA2593"/>
    <w:rsid w:val="00AB460B"/>
    <w:rsid w:val="00AC03AD"/>
    <w:rsid w:val="00AC44B7"/>
    <w:rsid w:val="00AD565A"/>
    <w:rsid w:val="00B07F1C"/>
    <w:rsid w:val="00B76924"/>
    <w:rsid w:val="00B95879"/>
    <w:rsid w:val="00BA138D"/>
    <w:rsid w:val="00BF5754"/>
    <w:rsid w:val="00C711BC"/>
    <w:rsid w:val="00C9563A"/>
    <w:rsid w:val="00C97F08"/>
    <w:rsid w:val="00CB50FD"/>
    <w:rsid w:val="00CD5FE0"/>
    <w:rsid w:val="00CE2CF7"/>
    <w:rsid w:val="00CE4BC0"/>
    <w:rsid w:val="00CF1120"/>
    <w:rsid w:val="00CF5E52"/>
    <w:rsid w:val="00D83C4A"/>
    <w:rsid w:val="00D840DC"/>
    <w:rsid w:val="00D966B9"/>
    <w:rsid w:val="00D968D9"/>
    <w:rsid w:val="00DB264C"/>
    <w:rsid w:val="00DC1CA0"/>
    <w:rsid w:val="00DD307D"/>
    <w:rsid w:val="00DE54C4"/>
    <w:rsid w:val="00E20FAC"/>
    <w:rsid w:val="00E70A5F"/>
    <w:rsid w:val="00E927CE"/>
    <w:rsid w:val="00E941F1"/>
    <w:rsid w:val="00EB0CA6"/>
    <w:rsid w:val="00EB4D08"/>
    <w:rsid w:val="00EF616D"/>
    <w:rsid w:val="00F00EBB"/>
    <w:rsid w:val="00F06B03"/>
    <w:rsid w:val="00F11759"/>
    <w:rsid w:val="00F17E69"/>
    <w:rsid w:val="00F354CC"/>
    <w:rsid w:val="00F35E1E"/>
    <w:rsid w:val="00F6105A"/>
    <w:rsid w:val="00F900F1"/>
    <w:rsid w:val="00F97FA0"/>
    <w:rsid w:val="00FB1419"/>
    <w:rsid w:val="00FC02EF"/>
    <w:rsid w:val="00FF4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3D84"/>
  <w15:chartTrackingRefBased/>
  <w15:docId w15:val="{BE47DD9E-6932-4EF8-9AE7-C2B6BF08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941F1"/>
    <w:rPr>
      <w:sz w:val="16"/>
      <w:szCs w:val="16"/>
    </w:rPr>
  </w:style>
  <w:style w:type="paragraph" w:styleId="CommentText">
    <w:name w:val="annotation text"/>
    <w:basedOn w:val="Normal"/>
    <w:link w:val="CommentTextChar"/>
    <w:uiPriority w:val="99"/>
    <w:unhideWhenUsed/>
    <w:rsid w:val="00E941F1"/>
    <w:pPr>
      <w:spacing w:line="240" w:lineRule="auto"/>
    </w:pPr>
    <w:rPr>
      <w:sz w:val="20"/>
      <w:szCs w:val="20"/>
    </w:rPr>
  </w:style>
  <w:style w:type="character" w:customStyle="1" w:styleId="CommentTextChar">
    <w:name w:val="Comment Text Char"/>
    <w:basedOn w:val="DefaultParagraphFont"/>
    <w:link w:val="CommentText"/>
    <w:uiPriority w:val="99"/>
    <w:rsid w:val="00E941F1"/>
    <w:rPr>
      <w:sz w:val="20"/>
      <w:szCs w:val="20"/>
    </w:rPr>
  </w:style>
  <w:style w:type="paragraph" w:styleId="CommentSubject">
    <w:name w:val="annotation subject"/>
    <w:basedOn w:val="CommentText"/>
    <w:next w:val="CommentText"/>
    <w:link w:val="CommentSubjectChar"/>
    <w:uiPriority w:val="99"/>
    <w:semiHidden/>
    <w:unhideWhenUsed/>
    <w:rsid w:val="00E941F1"/>
    <w:rPr>
      <w:b/>
      <w:bCs/>
    </w:rPr>
  </w:style>
  <w:style w:type="character" w:customStyle="1" w:styleId="CommentSubjectChar">
    <w:name w:val="Comment Subject Char"/>
    <w:basedOn w:val="CommentTextChar"/>
    <w:link w:val="CommentSubject"/>
    <w:uiPriority w:val="99"/>
    <w:semiHidden/>
    <w:rsid w:val="00E941F1"/>
    <w:rPr>
      <w:b/>
      <w:bCs/>
      <w:sz w:val="20"/>
      <w:szCs w:val="20"/>
    </w:rPr>
  </w:style>
  <w:style w:type="paragraph" w:styleId="BalloonText">
    <w:name w:val="Balloon Text"/>
    <w:basedOn w:val="Normal"/>
    <w:link w:val="BalloonTextChar"/>
    <w:uiPriority w:val="99"/>
    <w:semiHidden/>
    <w:unhideWhenUsed/>
    <w:rsid w:val="00E94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1F1"/>
    <w:rPr>
      <w:rFonts w:ascii="Segoe UI" w:hAnsi="Segoe UI" w:cs="Segoe UI"/>
      <w:sz w:val="18"/>
      <w:szCs w:val="18"/>
    </w:rPr>
  </w:style>
  <w:style w:type="paragraph" w:styleId="FootnoteText">
    <w:name w:val="footnote text"/>
    <w:basedOn w:val="Normal"/>
    <w:link w:val="FootnoteTextChar"/>
    <w:uiPriority w:val="99"/>
    <w:semiHidden/>
    <w:unhideWhenUsed/>
    <w:rsid w:val="008E7E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7E5E"/>
    <w:rPr>
      <w:sz w:val="20"/>
      <w:szCs w:val="20"/>
    </w:rPr>
  </w:style>
  <w:style w:type="character" w:styleId="FootnoteReference">
    <w:name w:val="footnote reference"/>
    <w:basedOn w:val="DefaultParagraphFont"/>
    <w:uiPriority w:val="99"/>
    <w:semiHidden/>
    <w:unhideWhenUsed/>
    <w:rsid w:val="008E7E5E"/>
    <w:rPr>
      <w:vertAlign w:val="superscript"/>
    </w:rPr>
  </w:style>
  <w:style w:type="paragraph" w:styleId="Header">
    <w:name w:val="header"/>
    <w:basedOn w:val="Normal"/>
    <w:link w:val="HeaderChar"/>
    <w:uiPriority w:val="99"/>
    <w:unhideWhenUsed/>
    <w:rsid w:val="00424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99F"/>
  </w:style>
  <w:style w:type="paragraph" w:styleId="Footer">
    <w:name w:val="footer"/>
    <w:basedOn w:val="Normal"/>
    <w:link w:val="FooterChar"/>
    <w:uiPriority w:val="99"/>
    <w:unhideWhenUsed/>
    <w:rsid w:val="00424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99F"/>
  </w:style>
  <w:style w:type="paragraph" w:styleId="Title">
    <w:name w:val="Title"/>
    <w:basedOn w:val="Normal"/>
    <w:next w:val="Normal"/>
    <w:link w:val="TitleChar"/>
    <w:uiPriority w:val="10"/>
    <w:qFormat/>
    <w:rsid w:val="00EB0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C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C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0CA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7788">
      <w:bodyDiv w:val="1"/>
      <w:marLeft w:val="0"/>
      <w:marRight w:val="0"/>
      <w:marTop w:val="0"/>
      <w:marBottom w:val="0"/>
      <w:divBdr>
        <w:top w:val="none" w:sz="0" w:space="0" w:color="auto"/>
        <w:left w:val="none" w:sz="0" w:space="0" w:color="auto"/>
        <w:bottom w:val="none" w:sz="0" w:space="0" w:color="auto"/>
        <w:right w:val="none" w:sz="0" w:space="0" w:color="auto"/>
      </w:divBdr>
    </w:div>
    <w:div w:id="1454009853">
      <w:bodyDiv w:val="1"/>
      <w:marLeft w:val="0"/>
      <w:marRight w:val="0"/>
      <w:marTop w:val="0"/>
      <w:marBottom w:val="0"/>
      <w:divBdr>
        <w:top w:val="none" w:sz="0" w:space="0" w:color="auto"/>
        <w:left w:val="none" w:sz="0" w:space="0" w:color="auto"/>
        <w:bottom w:val="none" w:sz="0" w:space="0" w:color="auto"/>
        <w:right w:val="none" w:sz="0" w:space="0" w:color="auto"/>
      </w:divBdr>
    </w:div>
    <w:div w:id="19211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newbold\Dropbox\2015%20FDA%20Regional%20Center%20Proposal\Project%20Folder\Evaluation\Annual%20Meeting%202018\18%2004%2009%20-%20Annual%20Meeting%20Evaluation%20with%20Codes%20EN%20&amp;%20R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newbold\Dropbox\2015%20FDA%20Regional%20Center%20Proposal\Project%20Folder\Evaluation\Annual%20Meeting%202018\18%2004%2009%20-%20Annual%20Meeting%20Evaluation%20with%20Codes%20EN%20&amp;%20R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enewbold\Dropbox\2015%20FDA%20Regional%20Center%20Proposal\Project%20Folder\Evaluation\Annual%20Meeting%202018\18%2004%2009%20-%20Annual%20Meeting%20Evaluation%20with%20Codes%20EN%20&amp;%20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Rating of NECAFS in</a:t>
            </a:r>
            <a:r>
              <a:rPr lang="en-US" baseline="0"/>
              <a:t> R</a:t>
            </a:r>
            <a:r>
              <a:rPr lang="en-US"/>
              <a:t>egional Communication</a:t>
            </a:r>
          </a:p>
        </c:rich>
      </c:tx>
      <c:layout>
        <c:manualLayout>
          <c:xMode val="edge"/>
          <c:yMode val="edge"/>
          <c:x val="0.10417112299465241"/>
          <c:y val="1.108033240997229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479206142012996"/>
          <c:y val="0.20598337950138504"/>
          <c:w val="0.78826504975648093"/>
          <c:h val="0.6654943616812441"/>
        </c:manualLayout>
      </c:layout>
      <c:barChart>
        <c:barDir val="bar"/>
        <c:grouping val="clustered"/>
        <c:varyColors val="0"/>
        <c:ser>
          <c:idx val="0"/>
          <c:order val="0"/>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2EF-4AC8-8AAC-BE743DDEF23A}"/>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2EF-4AC8-8AAC-BE743DDEF23A}"/>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2EF-4AC8-8AAC-BE743DDEF23A}"/>
              </c:ext>
            </c:extLst>
          </c:dPt>
          <c:dLbls>
            <c:dLbl>
              <c:idx val="0"/>
              <c:tx>
                <c:rich>
                  <a:bodyPr/>
                  <a:lstStyle/>
                  <a:p>
                    <a:fld id="{35106F6B-B7C4-447D-82BF-62026C4BC8E2}"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2EF-4AC8-8AAC-BE743DDEF23A}"/>
                </c:ext>
              </c:extLst>
            </c:dLbl>
            <c:dLbl>
              <c:idx val="1"/>
              <c:tx>
                <c:rich>
                  <a:bodyPr/>
                  <a:lstStyle/>
                  <a:p>
                    <a:fld id="{2B5D2C1F-72DD-42A4-8956-C2A58E0CDC0E}"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2EF-4AC8-8AAC-BE743DDEF23A}"/>
                </c:ext>
              </c:extLst>
            </c:dLbl>
            <c:dLbl>
              <c:idx val="2"/>
              <c:tx>
                <c:rich>
                  <a:bodyPr/>
                  <a:lstStyle/>
                  <a:p>
                    <a:fld id="{927E2653-C429-4FBA-B1A3-1975F3D859E2}"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2EF-4AC8-8AAC-BE743DDEF23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Sheet2!$A$79:$A$81</c:f>
              <c:numCache>
                <c:formatCode>General</c:formatCode>
                <c:ptCount val="3"/>
                <c:pt idx="0">
                  <c:v>5</c:v>
                </c:pt>
                <c:pt idx="1">
                  <c:v>4</c:v>
                </c:pt>
                <c:pt idx="2">
                  <c:v>3</c:v>
                </c:pt>
              </c:numCache>
            </c:numRef>
          </c:cat>
          <c:val>
            <c:numRef>
              <c:f>'18 03 22 - Annual Meeting Evalu'!$R$79:$R$81</c:f>
              <c:numCache>
                <c:formatCode>0%</c:formatCode>
                <c:ptCount val="3"/>
                <c:pt idx="0">
                  <c:v>0.46153846153846156</c:v>
                </c:pt>
                <c:pt idx="1">
                  <c:v>0.41025641025641024</c:v>
                </c:pt>
                <c:pt idx="2">
                  <c:v>0.12820512820512819</c:v>
                </c:pt>
              </c:numCache>
            </c:numRef>
          </c:val>
          <c:extLst>
            <c:ext xmlns:c15="http://schemas.microsoft.com/office/drawing/2012/chart" uri="{02D57815-91ED-43cb-92C2-25804820EDAC}">
              <c15:datalabelsRange>
                <c15:f>Sheet2!$B$74:$B$76</c15:f>
                <c15:dlblRangeCache>
                  <c:ptCount val="3"/>
                  <c:pt idx="0">
                    <c:v>n=18</c:v>
                  </c:pt>
                  <c:pt idx="1">
                    <c:v>n=16</c:v>
                  </c:pt>
                  <c:pt idx="2">
                    <c:v>n=5</c:v>
                  </c:pt>
                </c15:dlblRangeCache>
              </c15:datalabelsRange>
            </c:ext>
            <c:ext xmlns:c16="http://schemas.microsoft.com/office/drawing/2014/chart" uri="{C3380CC4-5D6E-409C-BE32-E72D297353CC}">
              <c16:uniqueId val="{00000006-32EF-4AC8-8AAC-BE743DDEF23A}"/>
            </c:ext>
          </c:extLst>
        </c:ser>
        <c:dLbls>
          <c:showLegendKey val="0"/>
          <c:showVal val="0"/>
          <c:showCatName val="0"/>
          <c:showSerName val="0"/>
          <c:showPercent val="0"/>
          <c:showBubbleSize val="0"/>
        </c:dLbls>
        <c:gapWidth val="50"/>
        <c:axId val="339124936"/>
        <c:axId val="409577184"/>
      </c:barChart>
      <c:valAx>
        <c:axId val="40957718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124936"/>
        <c:crosses val="autoZero"/>
        <c:crossBetween val="between"/>
      </c:valAx>
      <c:catAx>
        <c:axId val="339124936"/>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Scale:</a:t>
                </a:r>
                <a:r>
                  <a:rPr lang="en-US" baseline="0"/>
                  <a:t> 5 = excellent, 1 = poor</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5771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r>
              <a:rPr lang="en-US" sz="1300"/>
              <a:t>Figure 2: Rating</a:t>
            </a:r>
            <a:r>
              <a:rPr lang="en-US" sz="1300" baseline="0"/>
              <a:t> of</a:t>
            </a:r>
            <a:r>
              <a:rPr lang="en-US" sz="1300"/>
              <a:t> NECAFS in Building Regional</a:t>
            </a:r>
            <a:r>
              <a:rPr lang="en-US" sz="1300" baseline="0"/>
              <a:t> Ca</a:t>
            </a:r>
            <a:r>
              <a:rPr lang="en-US" sz="1300"/>
              <a:t>pacity, Competency, and</a:t>
            </a:r>
            <a:r>
              <a:rPr lang="en-US" sz="1300" baseline="0"/>
              <a:t> </a:t>
            </a:r>
            <a:r>
              <a:rPr lang="en-US" sz="1300"/>
              <a:t>Collaboration</a:t>
            </a:r>
          </a:p>
        </c:rich>
      </c:tx>
      <c:layout>
        <c:manualLayout>
          <c:xMode val="edge"/>
          <c:yMode val="edge"/>
          <c:x val="0.11191558296714327"/>
          <c:y val="0"/>
        </c:manualLayout>
      </c:layout>
      <c:overlay val="0"/>
      <c:spPr>
        <a:noFill/>
        <a:ln>
          <a:noFill/>
        </a:ln>
        <a:effectLst/>
      </c:spPr>
      <c:txPr>
        <a:bodyPr rot="0" spcFirstLastPara="1" vertOverflow="ellipsis" vert="horz" wrap="square" anchor="ctr" anchorCtr="1"/>
        <a:lstStyle/>
        <a:p>
          <a:pPr>
            <a:defRPr sz="13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81789386808236"/>
          <c:y val="0.28958448753462601"/>
          <c:w val="0.78968961209877098"/>
          <c:h val="0.58189325364800315"/>
        </c:manualLayout>
      </c:layout>
      <c:barChart>
        <c:barDir val="bar"/>
        <c:grouping val="clustered"/>
        <c:varyColors val="0"/>
        <c:ser>
          <c:idx val="0"/>
          <c:order val="0"/>
          <c:spPr>
            <a:solidFill>
              <a:schemeClr val="accent2"/>
            </a:solidFill>
            <a:ln w="19050">
              <a:solidFill>
                <a:schemeClr val="lt1"/>
              </a:solidFill>
            </a:ln>
            <a:effectLst/>
          </c:spPr>
          <c:invertIfNegative val="0"/>
          <c:dPt>
            <c:idx val="0"/>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1-A2E0-4A43-AC09-9CCF609EBCE7}"/>
              </c:ext>
            </c:extLst>
          </c:dPt>
          <c:dPt>
            <c:idx val="1"/>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3-A2E0-4A43-AC09-9CCF609EBCE7}"/>
              </c:ext>
            </c:extLst>
          </c:dPt>
          <c:dPt>
            <c:idx val="2"/>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5-A2E0-4A43-AC09-9CCF609EBCE7}"/>
              </c:ext>
            </c:extLst>
          </c:dPt>
          <c:dPt>
            <c:idx val="3"/>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7-A2E0-4A43-AC09-9CCF609EBCE7}"/>
              </c:ext>
            </c:extLst>
          </c:dPt>
          <c:dLbls>
            <c:dLbl>
              <c:idx val="0"/>
              <c:tx>
                <c:rich>
                  <a:bodyPr/>
                  <a:lstStyle/>
                  <a:p>
                    <a:fld id="{21700046-ECA3-4BE6-9E54-7EA99A9926A6}"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2E0-4A43-AC09-9CCF609EBCE7}"/>
                </c:ext>
              </c:extLst>
            </c:dLbl>
            <c:dLbl>
              <c:idx val="1"/>
              <c:tx>
                <c:rich>
                  <a:bodyPr/>
                  <a:lstStyle/>
                  <a:p>
                    <a:fld id="{21438AAD-6A21-4CAE-AF97-A55CA5B6A1A5}"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2E0-4A43-AC09-9CCF609EBCE7}"/>
                </c:ext>
              </c:extLst>
            </c:dLbl>
            <c:dLbl>
              <c:idx val="2"/>
              <c:tx>
                <c:rich>
                  <a:bodyPr/>
                  <a:lstStyle/>
                  <a:p>
                    <a:fld id="{83EBC3AD-3A9E-4E90-992A-AD5C2C93073E}"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A2E0-4A43-AC09-9CCF609EBCE7}"/>
                </c:ext>
              </c:extLst>
            </c:dLbl>
            <c:dLbl>
              <c:idx val="3"/>
              <c:tx>
                <c:rich>
                  <a:bodyPr/>
                  <a:lstStyle/>
                  <a:p>
                    <a:fld id="{101D2AEF-E20B-447B-8841-AFE51E48A4A9}"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2E0-4A43-AC09-9CCF609EBCE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Sheet2!$A$79:$A$82</c:f>
              <c:numCache>
                <c:formatCode>General</c:formatCode>
                <c:ptCount val="4"/>
                <c:pt idx="0">
                  <c:v>5</c:v>
                </c:pt>
                <c:pt idx="1">
                  <c:v>4</c:v>
                </c:pt>
                <c:pt idx="2">
                  <c:v>3</c:v>
                </c:pt>
                <c:pt idx="3">
                  <c:v>2</c:v>
                </c:pt>
              </c:numCache>
            </c:numRef>
          </c:cat>
          <c:val>
            <c:numRef>
              <c:f>Sheet2!$C$79:$C$82</c:f>
              <c:numCache>
                <c:formatCode>0%</c:formatCode>
                <c:ptCount val="4"/>
                <c:pt idx="0">
                  <c:v>0.45</c:v>
                </c:pt>
                <c:pt idx="1">
                  <c:v>0.45</c:v>
                </c:pt>
                <c:pt idx="2">
                  <c:v>7.4999999999999997E-2</c:v>
                </c:pt>
                <c:pt idx="3">
                  <c:v>2.5000000000000001E-2</c:v>
                </c:pt>
              </c:numCache>
            </c:numRef>
          </c:val>
          <c:extLst>
            <c:ext xmlns:c15="http://schemas.microsoft.com/office/drawing/2012/chart" uri="{02D57815-91ED-43cb-92C2-25804820EDAC}">
              <c15:datalabelsRange>
                <c15:f>Sheet2!$C$74:$C$77</c15:f>
                <c15:dlblRangeCache>
                  <c:ptCount val="4"/>
                  <c:pt idx="0">
                    <c:v>n=18</c:v>
                  </c:pt>
                  <c:pt idx="1">
                    <c:v>n=18</c:v>
                  </c:pt>
                  <c:pt idx="2">
                    <c:v>n=3</c:v>
                  </c:pt>
                  <c:pt idx="3">
                    <c:v>n=1</c:v>
                  </c:pt>
                </c15:dlblRangeCache>
              </c15:datalabelsRange>
            </c:ext>
            <c:ext xmlns:c16="http://schemas.microsoft.com/office/drawing/2014/chart" uri="{C3380CC4-5D6E-409C-BE32-E72D297353CC}">
              <c16:uniqueId val="{00000008-A2E0-4A43-AC09-9CCF609EBCE7}"/>
            </c:ext>
          </c:extLst>
        </c:ser>
        <c:dLbls>
          <c:showLegendKey val="0"/>
          <c:showVal val="0"/>
          <c:showCatName val="0"/>
          <c:showSerName val="0"/>
          <c:showPercent val="0"/>
          <c:showBubbleSize val="0"/>
        </c:dLbls>
        <c:gapWidth val="50"/>
        <c:axId val="462940520"/>
        <c:axId val="462941176"/>
      </c:barChart>
      <c:valAx>
        <c:axId val="462941176"/>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940520"/>
        <c:crosses val="autoZero"/>
        <c:crossBetween val="between"/>
      </c:valAx>
      <c:catAx>
        <c:axId val="462940520"/>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Scale: 5 = excellent, 1 = poor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2941176"/>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lumMod val="65000"/>
                    <a:lumOff val="35000"/>
                  </a:sysClr>
                </a:solidFill>
                <a:latin typeface="+mn-lt"/>
                <a:ea typeface="+mn-ea"/>
                <a:cs typeface="+mn-cs"/>
              </a:defRPr>
            </a:pPr>
            <a:r>
              <a:rPr lang="en-US" sz="1300">
                <a:solidFill>
                  <a:sysClr val="windowText" lastClr="000000">
                    <a:lumMod val="65000"/>
                    <a:lumOff val="35000"/>
                  </a:sysClr>
                </a:solidFill>
              </a:rPr>
              <a:t>Figure 3: Rating</a:t>
            </a:r>
            <a:r>
              <a:rPr lang="en-US" sz="1300" baseline="0">
                <a:solidFill>
                  <a:sysClr val="windowText" lastClr="000000">
                    <a:lumMod val="65000"/>
                    <a:lumOff val="35000"/>
                  </a:sysClr>
                </a:solidFill>
              </a:rPr>
              <a:t> of</a:t>
            </a:r>
            <a:r>
              <a:rPr lang="en-US" sz="1300">
                <a:solidFill>
                  <a:sysClr val="windowText" lastClr="000000">
                    <a:lumMod val="65000"/>
                    <a:lumOff val="35000"/>
                  </a:sysClr>
                </a:solidFill>
              </a:rPr>
              <a:t> NECAFS in Developing and Delivering Educational Programs</a:t>
            </a:r>
          </a:p>
        </c:rich>
      </c:tx>
      <c:layout>
        <c:manualLayout>
          <c:xMode val="edge"/>
          <c:yMode val="edge"/>
          <c:x val="0.10670175438596491"/>
          <c:y val="0"/>
        </c:manualLayout>
      </c:layout>
      <c:overlay val="0"/>
      <c:spPr>
        <a:noFill/>
        <a:ln>
          <a:noFill/>
        </a:ln>
        <a:effectLst/>
      </c:spPr>
    </c:title>
    <c:autoTitleDeleted val="0"/>
    <c:plotArea>
      <c:layout>
        <c:manualLayout>
          <c:layoutTarget val="inner"/>
          <c:xMode val="edge"/>
          <c:yMode val="edge"/>
          <c:x val="0.14250587097665424"/>
          <c:y val="0.26387397834178089"/>
          <c:w val="0.79160823318137863"/>
          <c:h val="0.60760375558755864"/>
        </c:manualLayout>
      </c:layout>
      <c:barChart>
        <c:barDir val="bar"/>
        <c:grouping val="clustered"/>
        <c:varyColors val="0"/>
        <c:ser>
          <c:idx val="0"/>
          <c:order val="0"/>
          <c:tx>
            <c:strRef>
              <c:f>Sheet2!$A$79:$A$81</c:f>
              <c:strCache>
                <c:ptCount val="3"/>
                <c:pt idx="0">
                  <c:v>5</c:v>
                </c:pt>
                <c:pt idx="1">
                  <c:v>4</c:v>
                </c:pt>
                <c:pt idx="2">
                  <c:v>3</c:v>
                </c:pt>
              </c:strCache>
            </c:strRef>
          </c:tx>
          <c:spPr>
            <a:solidFill>
              <a:schemeClr val="accent6">
                <a:lumMod val="75000"/>
              </a:schemeClr>
            </a:solidFill>
            <a:ln w="19050">
              <a:solidFill>
                <a:schemeClr val="lt1"/>
              </a:solidFill>
            </a:ln>
            <a:effectLst/>
          </c:spPr>
          <c:invertIfNegative val="0"/>
          <c:dPt>
            <c:idx val="0"/>
            <c:invertIfNegative val="0"/>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1-5340-4E58-BB95-9EAE1203333F}"/>
              </c:ext>
            </c:extLst>
          </c:dPt>
          <c:dPt>
            <c:idx val="1"/>
            <c:invertIfNegative val="0"/>
            <c:bubble3D val="0"/>
            <c:extLst>
              <c:ext xmlns:c16="http://schemas.microsoft.com/office/drawing/2014/chart" uri="{C3380CC4-5D6E-409C-BE32-E72D297353CC}">
                <c16:uniqueId val="{00000003-5340-4E58-BB95-9EAE1203333F}"/>
              </c:ext>
            </c:extLst>
          </c:dPt>
          <c:dPt>
            <c:idx val="2"/>
            <c:invertIfNegative val="0"/>
            <c:bubble3D val="0"/>
            <c:extLst>
              <c:ext xmlns:c16="http://schemas.microsoft.com/office/drawing/2014/chart" uri="{C3380CC4-5D6E-409C-BE32-E72D297353CC}">
                <c16:uniqueId val="{00000005-5340-4E58-BB95-9EAE1203333F}"/>
              </c:ext>
            </c:extLst>
          </c:dPt>
          <c:dLbls>
            <c:dLbl>
              <c:idx val="0"/>
              <c:tx>
                <c:rich>
                  <a:bodyPr/>
                  <a:lstStyle/>
                  <a:p>
                    <a:fld id="{3242A145-AB09-4940-A44F-3B048ACE7330}"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5340-4E58-BB95-9EAE1203333F}"/>
                </c:ext>
              </c:extLst>
            </c:dLbl>
            <c:dLbl>
              <c:idx val="1"/>
              <c:tx>
                <c:rich>
                  <a:bodyPr/>
                  <a:lstStyle/>
                  <a:p>
                    <a:fld id="{A4F58061-802A-466A-A914-FD3F33A0B064}"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5340-4E58-BB95-9EAE1203333F}"/>
                </c:ext>
              </c:extLst>
            </c:dLbl>
            <c:dLbl>
              <c:idx val="2"/>
              <c:tx>
                <c:rich>
                  <a:bodyPr/>
                  <a:lstStyle/>
                  <a:p>
                    <a:fld id="{DBD496C9-1B9C-47EB-8AA6-1B37D20DF930}" type="CELLRANGE">
                      <a:rPr lang="en-US"/>
                      <a:pPr/>
                      <a:t>[CELLRANGE]</a:t>
                    </a:fld>
                    <a:endParaRPr lang="en-US"/>
                  </a:p>
                </c:rich>
              </c:tx>
              <c:dLblPos val="inEnd"/>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5340-4E58-BB95-9EAE1203333F}"/>
                </c:ext>
              </c:extLst>
            </c:dLbl>
            <c:spPr>
              <a:noFill/>
              <a:ln>
                <a:noFill/>
              </a:ln>
              <a:effectLst/>
            </c:spPr>
            <c:txPr>
              <a:bodyPr rot="0" spcFirstLastPara="1" vertOverflow="ellipsis" vert="horz" wrap="square" lIns="91440" tIns="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DataLabelsRange val="1"/>
                <c15:showLeaderLines val="1"/>
                <c15:leaderLines>
                  <c:spPr>
                    <a:ln w="9525" cap="flat" cmpd="sng" algn="ctr">
                      <a:solidFill>
                        <a:schemeClr val="tx1">
                          <a:lumMod val="35000"/>
                          <a:lumOff val="65000"/>
                        </a:schemeClr>
                      </a:solidFill>
                      <a:round/>
                    </a:ln>
                    <a:effectLst/>
                  </c:spPr>
                </c15:leaderLines>
              </c:ext>
            </c:extLst>
          </c:dLbls>
          <c:cat>
            <c:numRef>
              <c:f>Sheet2!$A$79:$A$81</c:f>
              <c:numCache>
                <c:formatCode>General</c:formatCode>
                <c:ptCount val="3"/>
                <c:pt idx="0">
                  <c:v>5</c:v>
                </c:pt>
                <c:pt idx="1">
                  <c:v>4</c:v>
                </c:pt>
                <c:pt idx="2">
                  <c:v>3</c:v>
                </c:pt>
              </c:numCache>
            </c:numRef>
          </c:cat>
          <c:val>
            <c:numRef>
              <c:f>Sheet2!$D$79:$D$81</c:f>
              <c:numCache>
                <c:formatCode>0%</c:formatCode>
                <c:ptCount val="3"/>
                <c:pt idx="0">
                  <c:v>0.4358974358974359</c:v>
                </c:pt>
                <c:pt idx="1">
                  <c:v>0.41025641025641024</c:v>
                </c:pt>
                <c:pt idx="2">
                  <c:v>0.15384615384615385</c:v>
                </c:pt>
              </c:numCache>
            </c:numRef>
          </c:val>
          <c:extLst>
            <c:ext xmlns:c15="http://schemas.microsoft.com/office/drawing/2012/chart" uri="{02D57815-91ED-43cb-92C2-25804820EDAC}">
              <c15:datalabelsRange>
                <c15:f>Sheet2!$D$74:$D$76</c15:f>
                <c15:dlblRangeCache>
                  <c:ptCount val="3"/>
                  <c:pt idx="0">
                    <c:v>n=17</c:v>
                  </c:pt>
                  <c:pt idx="1">
                    <c:v>n=16</c:v>
                  </c:pt>
                  <c:pt idx="2">
                    <c:v>n=6</c:v>
                  </c:pt>
                </c15:dlblRangeCache>
              </c15:datalabelsRange>
            </c:ext>
            <c:ext xmlns:c16="http://schemas.microsoft.com/office/drawing/2014/chart" uri="{C3380CC4-5D6E-409C-BE32-E72D297353CC}">
              <c16:uniqueId val="{00000006-5340-4E58-BB95-9EAE1203333F}"/>
            </c:ext>
          </c:extLst>
        </c:ser>
        <c:dLbls>
          <c:showLegendKey val="0"/>
          <c:showVal val="0"/>
          <c:showCatName val="0"/>
          <c:showSerName val="0"/>
          <c:showPercent val="0"/>
          <c:showBubbleSize val="0"/>
        </c:dLbls>
        <c:gapWidth val="50"/>
        <c:axId val="339122312"/>
        <c:axId val="455269384"/>
      </c:barChart>
      <c:valAx>
        <c:axId val="455269384"/>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9122312"/>
        <c:crosses val="autoZero"/>
        <c:crossBetween val="between"/>
      </c:valAx>
      <c:catAx>
        <c:axId val="339122312"/>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Scale: 5 = excellent, 1 = poor</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2693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1B56051-3C44-4657-82FB-26B12EE45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2534</Words>
  <Characters>14445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enewbold</dc:creator>
  <cp:keywords/>
  <dc:description/>
  <cp:lastModifiedBy>enewbold</cp:lastModifiedBy>
  <cp:revision>7</cp:revision>
  <dcterms:created xsi:type="dcterms:W3CDTF">2018-05-03T18:49:00Z</dcterms:created>
  <dcterms:modified xsi:type="dcterms:W3CDTF">2018-06-08T17:24:00Z</dcterms:modified>
</cp:coreProperties>
</file>