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6CB6FE71" w14:textId="77777777" w:rsidR="00C00791" w:rsidRDefault="00C00791"/>
    <w:p w14:paraId="7D505829" w14:textId="77777777" w:rsidR="00C00791" w:rsidRDefault="00C00791"/>
    <w:p w14:paraId="3F388914" w14:textId="77777777" w:rsidR="00C00791" w:rsidRDefault="00C00791" w:rsidP="00C00791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C00791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746CFEE2" w14:textId="55086C88" w:rsidR="00C00791" w:rsidRDefault="00C00791" w:rsidP="00C00791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147B1313" w14:textId="5AACCCB3" w:rsidR="00C00791" w:rsidRDefault="00C00791" w:rsidP="00C00791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EB5471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AB525A">
        <w:rPr>
          <w:rFonts w:eastAsia="Times New Roman" w:cstheme="minorHAnsi"/>
          <w:color w:val="454545"/>
          <w:shd w:val="clear" w:color="auto" w:fill="FFFFFF"/>
        </w:rPr>
        <w:t>registrations</w:t>
      </w:r>
      <w:r>
        <w:rPr>
          <w:rFonts w:eastAsia="Times New Roman" w:cstheme="minorHAnsi"/>
          <w:color w:val="454545"/>
          <w:shd w:val="clear" w:color="auto" w:fill="FFFFFF"/>
        </w:rPr>
        <w:t xml:space="preserve">. </w:t>
      </w:r>
    </w:p>
    <w:p w14:paraId="509773D4" w14:textId="77777777" w:rsidR="00C00791" w:rsidRDefault="00C00791" w:rsidP="00C00791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740325B5" w14:textId="3E3DCFC9" w:rsidR="00C00791" w:rsidRPr="0069552C" w:rsidRDefault="00C00791" w:rsidP="0069552C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69552C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EB5471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37CA9441" w14:textId="77777777" w:rsidR="00C00791" w:rsidRPr="00923D90" w:rsidRDefault="00C00791" w:rsidP="00C00791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71A6530F" w14:textId="77777777" w:rsidR="00C00791" w:rsidRPr="009F46B5" w:rsidRDefault="00C00791" w:rsidP="00C00791">
      <w:pPr>
        <w:rPr>
          <w:rFonts w:cstheme="minorHAnsi"/>
          <w:b/>
        </w:rPr>
      </w:pPr>
    </w:p>
    <w:p w14:paraId="14CD514D" w14:textId="77777777" w:rsidR="00C00791" w:rsidRPr="009F46B5" w:rsidRDefault="00C00791" w:rsidP="00C00791">
      <w:pPr>
        <w:rPr>
          <w:rFonts w:cstheme="minorHAnsi"/>
          <w:b/>
        </w:rPr>
      </w:pPr>
    </w:p>
    <w:p w14:paraId="23B4AB59" w14:textId="77777777" w:rsidR="00C00791" w:rsidRPr="00923D90" w:rsidRDefault="00C00791" w:rsidP="00C00791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651E4DE5" w14:textId="77777777" w:rsidR="00C00791" w:rsidRPr="00923D90" w:rsidRDefault="00C00791" w:rsidP="00C00791">
      <w:pPr>
        <w:ind w:firstLine="720"/>
        <w:rPr>
          <w:rFonts w:cstheme="minorHAnsi"/>
          <w:b/>
        </w:rPr>
      </w:pPr>
    </w:p>
    <w:p w14:paraId="569F3EDB" w14:textId="77777777" w:rsidR="00C00791" w:rsidRPr="00923D90" w:rsidRDefault="00C00791" w:rsidP="00C00791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16D1D404" w14:textId="7831E25F" w:rsidR="00C00791" w:rsidRPr="00EB5471" w:rsidRDefault="00C00791" w:rsidP="00EB5471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>
        <w:rPr>
          <w:rFonts w:cstheme="minorHAnsi"/>
          <w:b/>
        </w:rPr>
        <w:t xml:space="preserve"> </w:t>
      </w:r>
      <w:r w:rsidR="00EB5471">
        <w:rPr>
          <w:rFonts w:cstheme="minorHAnsi"/>
          <w:b/>
        </w:rPr>
        <w:t xml:space="preserve">(such as strain-specific information). Please be sure that the track changes function is turned on to indicate </w:t>
      </w:r>
      <w:r w:rsidRPr="00EB5471">
        <w:rPr>
          <w:rFonts w:cstheme="minorHAnsi"/>
          <w:b/>
        </w:rPr>
        <w:t>any changes that you make.</w:t>
      </w:r>
    </w:p>
    <w:p w14:paraId="0ABF585A" w14:textId="3DC60609" w:rsidR="00C00791" w:rsidRDefault="00C00791" w:rsidP="00C00791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</w:t>
      </w:r>
      <w:r w:rsidR="00EB5471">
        <w:rPr>
          <w:rFonts w:cstheme="minorHAnsi"/>
          <w:b/>
        </w:rPr>
        <w:t>nstruct all</w:t>
      </w:r>
      <w:r>
        <w:rPr>
          <w:rFonts w:cstheme="minorHAnsi"/>
          <w:b/>
        </w:rPr>
        <w:t xml:space="preserve"> personnel to review the BARD and sign the last page, indicating that they have </w:t>
      </w:r>
    </w:p>
    <w:p w14:paraId="69AD1F54" w14:textId="77777777" w:rsidR="00C00791" w:rsidRDefault="00C00791" w:rsidP="00C00791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3197C0EB" w14:textId="3768A646" w:rsidR="00C00791" w:rsidRDefault="00C00791" w:rsidP="00C00791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69552C">
        <w:rPr>
          <w:rFonts w:cstheme="minorHAnsi"/>
          <w:b/>
        </w:rPr>
        <w:t xml:space="preserve">master protocol </w:t>
      </w:r>
      <w:r w:rsidR="00AB525A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0E531BD4" w14:textId="77777777" w:rsidR="00C00791" w:rsidRDefault="00C00791"/>
    <w:p w14:paraId="255F3C1B" w14:textId="77777777" w:rsidR="00C00791" w:rsidRDefault="00C00791"/>
    <w:p w14:paraId="5191921A" w14:textId="77777777" w:rsidR="00C00791" w:rsidRDefault="00C00791"/>
    <w:p w14:paraId="589ED56C" w14:textId="77777777" w:rsidR="00C00791" w:rsidRDefault="00C00791"/>
    <w:p w14:paraId="606E723D" w14:textId="77777777" w:rsidR="00C00791" w:rsidRDefault="00C00791"/>
    <w:p w14:paraId="08217E7B" w14:textId="77777777" w:rsidR="00C00791" w:rsidRDefault="00C00791"/>
    <w:p w14:paraId="07FDF2E1" w14:textId="77777777" w:rsidR="00C00791" w:rsidRDefault="00C00791"/>
    <w:p w14:paraId="345B4C13" w14:textId="77777777" w:rsidR="00C00791" w:rsidRDefault="00C00791"/>
    <w:p w14:paraId="2D82406E" w14:textId="77777777" w:rsidR="00C00791" w:rsidRDefault="00C00791"/>
    <w:p w14:paraId="78EE9965" w14:textId="77777777" w:rsidR="00C00791" w:rsidRDefault="00C00791"/>
    <w:p w14:paraId="747FA4EF" w14:textId="77777777" w:rsidR="00C00791" w:rsidRDefault="00C00791"/>
    <w:p w14:paraId="5FE75EBB" w14:textId="77777777" w:rsidR="00C00791" w:rsidRDefault="00C00791"/>
    <w:p w14:paraId="4A2A1A27" w14:textId="77777777" w:rsidR="00C00791" w:rsidRDefault="00C00791"/>
    <w:p w14:paraId="4C3A2B6D" w14:textId="77777777" w:rsidR="00C00791" w:rsidRDefault="00C00791"/>
    <w:p w14:paraId="6EA0C598" w14:textId="77777777" w:rsidR="00C00791" w:rsidRDefault="00C00791"/>
    <w:p w14:paraId="28C93F9F" w14:textId="77777777" w:rsidR="00C00791" w:rsidRDefault="00C00791"/>
    <w:p w14:paraId="4B9A83B6" w14:textId="77777777" w:rsidR="00C00791" w:rsidRDefault="00C00791"/>
    <w:p w14:paraId="01BBCBDE" w14:textId="77777777" w:rsidR="00C00791" w:rsidRDefault="00C00791"/>
    <w:p w14:paraId="1C88A299" w14:textId="77777777" w:rsidR="00C00791" w:rsidRDefault="00C00791"/>
    <w:p w14:paraId="40D27BBC" w14:textId="77777777" w:rsidR="00C00791" w:rsidRDefault="00C00791"/>
    <w:p w14:paraId="65E1B5F5" w14:textId="77777777" w:rsidR="00C00791" w:rsidRDefault="00C00791"/>
    <w:p w14:paraId="17962101" w14:textId="77777777" w:rsidR="00C00791" w:rsidRDefault="00C00791"/>
    <w:p w14:paraId="61AB2251" w14:textId="77777777" w:rsidR="00C00791" w:rsidRDefault="00C00791">
      <w:pPr>
        <w:sectPr w:rsidR="00C00791" w:rsidSect="00C00791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5DB7EF87" w14:textId="77777777" w:rsidR="00C00791" w:rsidRDefault="00C00791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3D398F84" w:rsidR="00F15A99" w:rsidRDefault="00F15A99" w:rsidP="001E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of the </w:t>
            </w:r>
            <w:r w:rsidR="001E76B6">
              <w:rPr>
                <w:sz w:val="20"/>
                <w:szCs w:val="20"/>
              </w:rPr>
              <w:t>Rhabdo</w:t>
            </w:r>
            <w:r>
              <w:rPr>
                <w:sz w:val="20"/>
                <w:szCs w:val="20"/>
              </w:rPr>
              <w:t>viridae family, enveloped virus.</w:t>
            </w:r>
            <w:r w:rsidR="00C00791">
              <w:rPr>
                <w:sz w:val="20"/>
                <w:szCs w:val="20"/>
              </w:rPr>
              <w:t xml:space="preserve"> Livestock pathogen.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102824F9" w:rsidR="00F15A99" w:rsidRDefault="001E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main serotypes: Indiana, New Jersey, Cocal, Alagoas, Isfahan, Chandipura, Maraba, Piry</w:t>
            </w: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787D296E" w:rsidR="00F04586" w:rsidRDefault="001E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Humans (except for Maraba and Cocal serotypes), horses, </w:t>
            </w:r>
            <w:r w:rsidR="00C00791">
              <w:rPr>
                <w:sz w:val="20"/>
                <w:szCs w:val="20"/>
              </w:rPr>
              <w:t>cattle</w:t>
            </w:r>
            <w:r>
              <w:rPr>
                <w:sz w:val="20"/>
                <w:szCs w:val="20"/>
              </w:rPr>
              <w:t>, pigs, mules, sand flies, grasshoppers, rodents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447E3651" w:rsidR="00F04586" w:rsidRDefault="001E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with non-intact skin, inhalation, </w:t>
            </w:r>
            <w:r w:rsidR="00420891">
              <w:rPr>
                <w:sz w:val="20"/>
                <w:szCs w:val="20"/>
              </w:rPr>
              <w:t>bite from an infected sand fly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5B20E7EC" w14:textId="77777777" w:rsidR="00F04586" w:rsidRDefault="00C3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Infections with Indiana, New Jersey, Alagoas serotypes: F</w:t>
            </w:r>
            <w:r w:rsidR="00163E94">
              <w:rPr>
                <w:sz w:val="20"/>
                <w:szCs w:val="20"/>
              </w:rPr>
              <w:t>lu-like symptoms</w:t>
            </w:r>
            <w:r>
              <w:rPr>
                <w:sz w:val="20"/>
                <w:szCs w:val="20"/>
              </w:rPr>
              <w:t xml:space="preserve"> including severe malaise, headaches, muscle and joint pain, retrosternal pain, eye aches, nausea, vesicle formation on oral mucosa (rare)</w:t>
            </w:r>
          </w:p>
          <w:p w14:paraId="186E3010" w14:textId="77777777" w:rsidR="00C37A4E" w:rsidRDefault="00C3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Infections with Chandipura: fever, sensory disorders, convulsions, vomiting, diarrhea, and encephalitis leading to coma and death</w:t>
            </w:r>
          </w:p>
          <w:p w14:paraId="47685B17" w14:textId="052798E3" w:rsidR="00C37A4E" w:rsidRDefault="00C37A4E">
            <w:pPr>
              <w:rPr>
                <w:sz w:val="20"/>
                <w:szCs w:val="20"/>
              </w:rPr>
            </w:pP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56369BCB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77777777" w:rsidR="00F0458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0873F245" w:rsidR="00F04586" w:rsidRDefault="00C3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 – 6 days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2BFAE501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380F243B" w:rsidR="00D67EC6" w:rsidRDefault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Symptomatic treatment to prevent secondary infections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6F555ADC" w:rsidR="00D67EC6" w:rsidRDefault="00D67EC6" w:rsidP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 and test using viral isolation</w:t>
            </w:r>
            <w:r w:rsidR="007A1D19">
              <w:rPr>
                <w:sz w:val="20"/>
                <w:szCs w:val="20"/>
              </w:rPr>
              <w:t>, PCR, or ELISA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37EDCC8B" w:rsidR="00D67EC6" w:rsidRDefault="00D67EC6" w:rsidP="00D67EC6">
            <w:pPr>
              <w:rPr>
                <w:sz w:val="20"/>
                <w:szCs w:val="20"/>
              </w:rPr>
            </w:pPr>
          </w:p>
        </w:tc>
      </w:tr>
    </w:tbl>
    <w:p w14:paraId="52262179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5737" w:type="dxa"/>
        <w:tblInd w:w="-5" w:type="dxa"/>
        <w:tblLook w:val="04A0" w:firstRow="1" w:lastRow="0" w:firstColumn="1" w:lastColumn="0" w:noHBand="0" w:noVBand="1"/>
      </w:tblPr>
      <w:tblGrid>
        <w:gridCol w:w="1440"/>
        <w:gridCol w:w="4297"/>
      </w:tblGrid>
      <w:tr w:rsidR="005733C9" w14:paraId="537741BB" w14:textId="77777777" w:rsidTr="00F218A0">
        <w:tc>
          <w:tcPr>
            <w:tcW w:w="5737" w:type="dxa"/>
            <w:gridSpan w:val="2"/>
            <w:shd w:val="clear" w:color="auto" w:fill="538135" w:themeFill="accent6" w:themeFillShade="BF"/>
          </w:tcPr>
          <w:p w14:paraId="1BDEF55A" w14:textId="77777777" w:rsidR="005733C9" w:rsidRPr="005733C9" w:rsidRDefault="005733C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680AC1" w14:paraId="0610CE46" w14:textId="77777777" w:rsidTr="00F218A0">
        <w:tc>
          <w:tcPr>
            <w:tcW w:w="1440" w:type="dxa"/>
          </w:tcPr>
          <w:p w14:paraId="21217A14" w14:textId="77777777" w:rsidR="005733C9" w:rsidRPr="00E37F21" w:rsidRDefault="005733C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97" w:type="dxa"/>
          </w:tcPr>
          <w:p w14:paraId="1C550E42" w14:textId="7C7D5D3D" w:rsidR="005733C9" w:rsidRDefault="007A1D19" w:rsidP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of 1980, 46 recorded cases with New Jersey and Indiana serotypes, 13 cases with Piry serotype</w:t>
            </w:r>
          </w:p>
        </w:tc>
      </w:tr>
      <w:tr w:rsidR="00680AC1" w14:paraId="073077AE" w14:textId="77777777" w:rsidTr="00F218A0">
        <w:tc>
          <w:tcPr>
            <w:tcW w:w="1440" w:type="dxa"/>
          </w:tcPr>
          <w:p w14:paraId="4DC6142B" w14:textId="77777777" w:rsidR="005733C9" w:rsidRPr="00E37F21" w:rsidRDefault="005733C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97" w:type="dxa"/>
          </w:tcPr>
          <w:p w14:paraId="43008D10" w14:textId="298BB955" w:rsidR="005733C9" w:rsidRDefault="007A1D19" w:rsidP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Infected human or animal blood, throat secretions, saliva, exudates, open </w:t>
            </w:r>
            <w:r w:rsidR="00D91045">
              <w:rPr>
                <w:sz w:val="20"/>
                <w:szCs w:val="20"/>
              </w:rPr>
              <w:t>wounds</w:t>
            </w:r>
            <w:r>
              <w:rPr>
                <w:sz w:val="20"/>
                <w:szCs w:val="20"/>
              </w:rPr>
              <w:t>,</w:t>
            </w:r>
            <w:r w:rsidR="005733C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laboratory cultures</w:t>
            </w:r>
            <w:r w:rsidR="005733C9">
              <w:rPr>
                <w:sz w:val="20"/>
                <w:szCs w:val="20"/>
              </w:rPr>
              <w:t>.</w:t>
            </w:r>
          </w:p>
        </w:tc>
      </w:tr>
    </w:tbl>
    <w:p w14:paraId="696C1205" w14:textId="77777777" w:rsidR="005733C9" w:rsidRDefault="005733C9">
      <w:pPr>
        <w:rPr>
          <w:sz w:val="20"/>
          <w:szCs w:val="20"/>
        </w:rPr>
      </w:pPr>
    </w:p>
    <w:p w14:paraId="64D87F51" w14:textId="77777777" w:rsidR="00F218A0" w:rsidRDefault="00F218A0">
      <w:pPr>
        <w:rPr>
          <w:sz w:val="20"/>
          <w:szCs w:val="20"/>
        </w:rPr>
      </w:pPr>
    </w:p>
    <w:p w14:paraId="609932EC" w14:textId="77777777" w:rsidR="00F218A0" w:rsidRDefault="00F218A0">
      <w:pPr>
        <w:rPr>
          <w:sz w:val="20"/>
          <w:szCs w:val="20"/>
        </w:rPr>
      </w:pPr>
    </w:p>
    <w:p w14:paraId="7043622C" w14:textId="77777777" w:rsidR="00F218A0" w:rsidRDefault="00F218A0">
      <w:pPr>
        <w:rPr>
          <w:sz w:val="20"/>
          <w:szCs w:val="20"/>
        </w:rPr>
      </w:pPr>
    </w:p>
    <w:p w14:paraId="641A150A" w14:textId="77777777" w:rsidR="00F218A0" w:rsidRDefault="00F218A0">
      <w:pPr>
        <w:rPr>
          <w:sz w:val="20"/>
          <w:szCs w:val="20"/>
        </w:rPr>
      </w:pPr>
    </w:p>
    <w:p w14:paraId="57A5FF91" w14:textId="77777777" w:rsidR="00F218A0" w:rsidRDefault="00F218A0">
      <w:pPr>
        <w:rPr>
          <w:sz w:val="20"/>
          <w:szCs w:val="20"/>
        </w:rPr>
      </w:pPr>
    </w:p>
    <w:p w14:paraId="390CAB72" w14:textId="77777777" w:rsidR="00F218A0" w:rsidRDefault="00F218A0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40"/>
        <w:gridCol w:w="4340"/>
      </w:tblGrid>
      <w:tr w:rsidR="007A1D19" w14:paraId="7326FC39" w14:textId="77777777" w:rsidTr="000E3739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7A1D19" w14:paraId="3295084F" w14:textId="77777777" w:rsidTr="000E3739">
        <w:tc>
          <w:tcPr>
            <w:tcW w:w="144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340" w:type="dxa"/>
          </w:tcPr>
          <w:p w14:paraId="5929C5C5" w14:textId="706EE618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(RG2</w:t>
            </w:r>
            <w:r w:rsidR="007A1D19">
              <w:rPr>
                <w:sz w:val="20"/>
                <w:szCs w:val="20"/>
              </w:rPr>
              <w:t>: Indiana, Cocal, Alagoas, New Jersey, Isfahan, Maraba</w:t>
            </w:r>
            <w:r>
              <w:rPr>
                <w:sz w:val="20"/>
                <w:szCs w:val="20"/>
              </w:rPr>
              <w:t>)</w:t>
            </w:r>
          </w:p>
        </w:tc>
      </w:tr>
      <w:tr w:rsidR="007A1D19" w14:paraId="50B71E50" w14:textId="77777777" w:rsidTr="000E3739">
        <w:tc>
          <w:tcPr>
            <w:tcW w:w="144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340" w:type="dxa"/>
          </w:tcPr>
          <w:p w14:paraId="519809A7" w14:textId="7E62A51D" w:rsidR="005733C9" w:rsidRDefault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cell cultures of laboratory adapted strains (RG3: Chandipura, Piry)</w:t>
            </w:r>
          </w:p>
        </w:tc>
      </w:tr>
      <w:tr w:rsidR="007A1D19" w14:paraId="449673AC" w14:textId="77777777" w:rsidTr="000E3739">
        <w:tc>
          <w:tcPr>
            <w:tcW w:w="144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340" w:type="dxa"/>
          </w:tcPr>
          <w:p w14:paraId="17E84471" w14:textId="5A6D6B65" w:rsidR="005733C9" w:rsidRDefault="00680AC1" w:rsidP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7A1D19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7A1D19" w14:paraId="48F1431D" w14:textId="77777777" w:rsidTr="000E3739">
        <w:tc>
          <w:tcPr>
            <w:tcW w:w="144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340" w:type="dxa"/>
          </w:tcPr>
          <w:p w14:paraId="70780F56" w14:textId="58669224" w:rsidR="005733C9" w:rsidRDefault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animals infected with risk group 3 strains</w:t>
            </w:r>
          </w:p>
        </w:tc>
      </w:tr>
      <w:tr w:rsidR="007A1D19" w14:paraId="6AFE6ACB" w14:textId="77777777" w:rsidTr="000E3739">
        <w:tc>
          <w:tcPr>
            <w:tcW w:w="144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340" w:type="dxa"/>
          </w:tcPr>
          <w:p w14:paraId="6871A61C" w14:textId="2856217A" w:rsidR="004F4CD9" w:rsidRDefault="00B8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7A1D19" w14:paraId="41CE5316" w14:textId="77777777" w:rsidTr="000E3739">
        <w:tc>
          <w:tcPr>
            <w:tcW w:w="144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340" w:type="dxa"/>
          </w:tcPr>
          <w:p w14:paraId="7715A1D6" w14:textId="77777777" w:rsidR="00CD543C" w:rsidRDefault="0037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high concentrations, or large volumes</w:t>
            </w:r>
            <w:r w:rsidR="00452F90">
              <w:rPr>
                <w:sz w:val="20"/>
                <w:szCs w:val="20"/>
              </w:rPr>
              <w:t>.</w:t>
            </w:r>
          </w:p>
          <w:p w14:paraId="662202B2" w14:textId="2C3DC0F5" w:rsidR="00452F90" w:rsidRDefault="0045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all activities at BSL-3.</w:t>
            </w:r>
          </w:p>
        </w:tc>
      </w:tr>
    </w:tbl>
    <w:p w14:paraId="6AA88686" w14:textId="13EE7792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0E3739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E37F21" w14:paraId="6057CB70" w14:textId="77777777" w:rsidTr="000E3739">
        <w:tc>
          <w:tcPr>
            <w:tcW w:w="144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0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E37F21" w14:paraId="6F0C3BBB" w14:textId="77777777" w:rsidTr="000E3739">
        <w:trPr>
          <w:trHeight w:val="521"/>
        </w:trPr>
        <w:tc>
          <w:tcPr>
            <w:tcW w:w="144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0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E37F21" w14:paraId="79348B75" w14:textId="77777777" w:rsidTr="000E3739">
        <w:tc>
          <w:tcPr>
            <w:tcW w:w="144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08" w:type="dxa"/>
          </w:tcPr>
          <w:p w14:paraId="482CC955" w14:textId="5CFC96A7" w:rsidR="00680AC1" w:rsidRDefault="00A4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E37F21" w14:paraId="7AD6EA23" w14:textId="77777777" w:rsidTr="000E3739">
        <w:tc>
          <w:tcPr>
            <w:tcW w:w="144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08" w:type="dxa"/>
          </w:tcPr>
          <w:p w14:paraId="0F1526BF" w14:textId="77777777" w:rsidR="00A40E96" w:rsidRDefault="00A40E96" w:rsidP="00A40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397C30AC" w14:textId="77777777" w:rsidR="00A40E96" w:rsidRDefault="00A40E96" w:rsidP="00A4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6C6414AB" w14:textId="77777777" w:rsidR="00A40E96" w:rsidRDefault="00A40E96" w:rsidP="00A4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1CED3825" w:rsidR="00680AC1" w:rsidRPr="00A40E96" w:rsidRDefault="00A40E96" w:rsidP="00A40E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40E96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E05761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4D9BCA72" w14:textId="58451035" w:rsidR="00452F90" w:rsidRDefault="00452F90" w:rsidP="00452F90">
            <w:pPr>
              <w:rPr>
                <w:sz w:val="20"/>
                <w:szCs w:val="20"/>
              </w:rPr>
            </w:pPr>
            <w:r w:rsidRPr="00452F90">
              <w:rPr>
                <w:sz w:val="20"/>
                <w:szCs w:val="20"/>
                <w:u w:val="single"/>
              </w:rPr>
              <w:t>BSL-2</w:t>
            </w:r>
            <w:r>
              <w:rPr>
                <w:sz w:val="20"/>
                <w:szCs w:val="20"/>
              </w:rPr>
              <w:t xml:space="preserve">: </w:t>
            </w:r>
            <w:r w:rsidR="005A7343">
              <w:rPr>
                <w:sz w:val="20"/>
                <w:szCs w:val="20"/>
              </w:rPr>
              <w:t>N</w:t>
            </w:r>
            <w:r w:rsidR="00EB5471">
              <w:rPr>
                <w:sz w:val="20"/>
                <w:szCs w:val="20"/>
              </w:rPr>
              <w:t>itrile gloves</w:t>
            </w:r>
            <w:r w:rsidR="005A7343">
              <w:rPr>
                <w:sz w:val="20"/>
                <w:szCs w:val="20"/>
              </w:rPr>
              <w:t xml:space="preserve">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 w:rsidR="007A1D19">
              <w:rPr>
                <w:sz w:val="20"/>
                <w:szCs w:val="20"/>
              </w:rPr>
              <w:t xml:space="preserve">. </w:t>
            </w:r>
          </w:p>
          <w:p w14:paraId="6C8BB085" w14:textId="77777777" w:rsidR="009E6568" w:rsidRDefault="00452F90" w:rsidP="00452F90">
            <w:pPr>
              <w:rPr>
                <w:sz w:val="20"/>
                <w:szCs w:val="20"/>
              </w:rPr>
            </w:pPr>
            <w:r w:rsidRPr="00452F90">
              <w:rPr>
                <w:sz w:val="20"/>
                <w:szCs w:val="20"/>
                <w:u w:val="single"/>
              </w:rPr>
              <w:t>BSL-3</w:t>
            </w:r>
            <w:r>
              <w:rPr>
                <w:sz w:val="20"/>
                <w:szCs w:val="20"/>
              </w:rPr>
              <w:t>:</w:t>
            </w:r>
            <w:r w:rsidR="007A1D19">
              <w:rPr>
                <w:sz w:val="20"/>
                <w:szCs w:val="20"/>
              </w:rPr>
              <w:t xml:space="preserve"> full coverage protective clothing</w:t>
            </w:r>
            <w:r>
              <w:rPr>
                <w:sz w:val="20"/>
                <w:szCs w:val="20"/>
              </w:rPr>
              <w:t>,</w:t>
            </w:r>
            <w:r w:rsidR="007A1D19">
              <w:rPr>
                <w:sz w:val="20"/>
                <w:szCs w:val="20"/>
              </w:rPr>
              <w:t xml:space="preserve"> solid-front gown with tight-fitting wrists, gloves, respiratory protection</w:t>
            </w:r>
            <w:r>
              <w:rPr>
                <w:sz w:val="20"/>
                <w:szCs w:val="20"/>
              </w:rPr>
              <w:t>, shoe covers, appropriate eye/face protection</w:t>
            </w:r>
            <w:r w:rsidR="00EB5471">
              <w:rPr>
                <w:sz w:val="20"/>
                <w:szCs w:val="20"/>
              </w:rPr>
              <w:t>.</w:t>
            </w:r>
          </w:p>
          <w:p w14:paraId="13382C27" w14:textId="02845774" w:rsidR="00EB5471" w:rsidRDefault="00EB5471" w:rsidP="0045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 after removing all PPE.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A40E7E4" w14:textId="77777777" w:rsidR="009E6568" w:rsidRDefault="00F608AC" w:rsidP="007A1D19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570CFA02" w:rsidR="007757B0" w:rsidRPr="00E37F21" w:rsidRDefault="007757B0" w:rsidP="007A1D1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2CE880B" w14:textId="77777777" w:rsidR="007A1D19" w:rsidRDefault="007A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Sharps use strictly limited. </w:t>
            </w:r>
          </w:p>
          <w:p w14:paraId="3F8D51A6" w14:textId="2C4F4777" w:rsidR="00F608AC" w:rsidRDefault="00F608AC" w:rsidP="007757B0">
            <w:pPr>
              <w:rPr>
                <w:sz w:val="20"/>
                <w:szCs w:val="20"/>
              </w:rPr>
            </w:pPr>
          </w:p>
        </w:tc>
      </w:tr>
    </w:tbl>
    <w:p w14:paraId="12C9E9B3" w14:textId="3845DE18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7CEFF0" w14:textId="77777777" w:rsidR="00C00791" w:rsidRDefault="00C00791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614384B6" w:rsidR="00E37F21" w:rsidRDefault="00E37F21" w:rsidP="0045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to </w:t>
            </w:r>
            <w:r w:rsidR="00D91045">
              <w:rPr>
                <w:sz w:val="20"/>
                <w:szCs w:val="20"/>
              </w:rPr>
              <w:t>10% bleach, 2.5% phenol,</w:t>
            </w:r>
            <w:r w:rsidR="004353EA">
              <w:rPr>
                <w:sz w:val="20"/>
                <w:szCs w:val="20"/>
              </w:rPr>
              <w:t xml:space="preserve"> 0.4% HCl,</w:t>
            </w:r>
            <w:r w:rsidR="00D91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1% </w:t>
            </w:r>
            <w:r w:rsidR="00452F90">
              <w:rPr>
                <w:sz w:val="20"/>
                <w:szCs w:val="20"/>
              </w:rPr>
              <w:t>cresylic acid, chlorinated phenol, 2% sodium</w:t>
            </w:r>
            <w:r w:rsidR="00D91045">
              <w:rPr>
                <w:sz w:val="20"/>
                <w:szCs w:val="20"/>
              </w:rPr>
              <w:t xml:space="preserve"> </w:t>
            </w:r>
            <w:r w:rsidR="004F4C49">
              <w:rPr>
                <w:sz w:val="20"/>
                <w:szCs w:val="20"/>
              </w:rPr>
              <w:t>orthophenylphenate;</w:t>
            </w:r>
            <w:r w:rsidR="00C00791">
              <w:rPr>
                <w:sz w:val="20"/>
                <w:szCs w:val="20"/>
              </w:rPr>
              <w:t xml:space="preserve"> with 20-minute contact time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43F0B3B9" w:rsidR="00E37F21" w:rsidRDefault="00E37F21" w:rsidP="0045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Inactivated by </w:t>
            </w:r>
            <w:r w:rsidR="00452F90">
              <w:rPr>
                <w:sz w:val="20"/>
                <w:szCs w:val="20"/>
              </w:rPr>
              <w:t>pH at or below 1.5, heat above 60</w:t>
            </w:r>
            <w:r w:rsidR="00EB5471">
              <w:rPr>
                <w:sz w:val="20"/>
                <w:szCs w:val="20"/>
              </w:rPr>
              <w:sym w:font="Symbol" w:char="F0B0"/>
            </w:r>
            <w:r w:rsidR="00452F90">
              <w:rPr>
                <w:sz w:val="20"/>
                <w:szCs w:val="20"/>
              </w:rPr>
              <w:t>C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747E6C76" w:rsidR="00E37F21" w:rsidRDefault="00E37F21" w:rsidP="00452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of surviving outside of host </w:t>
            </w:r>
            <w:r w:rsidR="00452F90">
              <w:rPr>
                <w:sz w:val="20"/>
                <w:szCs w:val="20"/>
              </w:rPr>
              <w:t>3 – 4 days in infected saliva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165"/>
        <w:gridCol w:w="4590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1137DE">
        <w:tc>
          <w:tcPr>
            <w:tcW w:w="1165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590" w:type="dxa"/>
          </w:tcPr>
          <w:p w14:paraId="32722808" w14:textId="19A8FBC6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EB5471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1137DE">
        <w:trPr>
          <w:trHeight w:val="269"/>
        </w:trPr>
        <w:tc>
          <w:tcPr>
            <w:tcW w:w="1165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590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693" w:type="dxa"/>
        <w:tblLook w:val="04A0" w:firstRow="1" w:lastRow="0" w:firstColumn="1" w:lastColumn="0" w:noHBand="0" w:noVBand="1"/>
      </w:tblPr>
      <w:tblGrid>
        <w:gridCol w:w="11693"/>
      </w:tblGrid>
      <w:tr w:rsidR="008430F7" w:rsidRPr="004A786C" w14:paraId="0D1D2274" w14:textId="77777777" w:rsidTr="00AB2BDD">
        <w:trPr>
          <w:trHeight w:val="323"/>
        </w:trPr>
        <w:tc>
          <w:tcPr>
            <w:tcW w:w="11693" w:type="dxa"/>
            <w:shd w:val="clear" w:color="auto" w:fill="538135" w:themeFill="accent6" w:themeFillShade="BF"/>
          </w:tcPr>
          <w:p w14:paraId="41E519D7" w14:textId="5E8D33E4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AB2BDD">
              <w:rPr>
                <w:b/>
                <w:caps/>
                <w:color w:val="FFFFFF" w:themeColor="background1"/>
              </w:rPr>
              <w:t xml:space="preserve">                                                           SIGNATURE                                                             DATE</w:t>
            </w:r>
          </w:p>
        </w:tc>
      </w:tr>
      <w:tr w:rsidR="008430F7" w:rsidRPr="004A786C" w14:paraId="1785F972" w14:textId="77777777" w:rsidTr="00AB2BDD">
        <w:trPr>
          <w:trHeight w:val="257"/>
        </w:trPr>
        <w:tc>
          <w:tcPr>
            <w:tcW w:w="11693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AB2BDD">
        <w:trPr>
          <w:trHeight w:val="257"/>
        </w:trPr>
        <w:tc>
          <w:tcPr>
            <w:tcW w:w="11693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AB2BDD">
        <w:trPr>
          <w:trHeight w:val="257"/>
        </w:trPr>
        <w:tc>
          <w:tcPr>
            <w:tcW w:w="11693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AB2BDD">
        <w:trPr>
          <w:trHeight w:val="257"/>
        </w:trPr>
        <w:tc>
          <w:tcPr>
            <w:tcW w:w="11693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AB2BDD">
        <w:trPr>
          <w:trHeight w:val="257"/>
        </w:trPr>
        <w:tc>
          <w:tcPr>
            <w:tcW w:w="11693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AB2BDD">
        <w:trPr>
          <w:trHeight w:val="257"/>
        </w:trPr>
        <w:tc>
          <w:tcPr>
            <w:tcW w:w="11693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AB2BDD">
        <w:trPr>
          <w:trHeight w:val="257"/>
        </w:trPr>
        <w:tc>
          <w:tcPr>
            <w:tcW w:w="11693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AB2BDD">
        <w:trPr>
          <w:trHeight w:val="257"/>
        </w:trPr>
        <w:tc>
          <w:tcPr>
            <w:tcW w:w="11693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3D37C011" w14:textId="77777777" w:rsidR="00C00791" w:rsidRPr="00DC0F42" w:rsidRDefault="00C00791" w:rsidP="00C00791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1ED023D8" w14:textId="77777777" w:rsidR="00C00791" w:rsidRDefault="00C00791" w:rsidP="00C00791">
      <w:pPr>
        <w:rPr>
          <w:sz w:val="20"/>
          <w:szCs w:val="20"/>
        </w:rPr>
      </w:pPr>
    </w:p>
    <w:p w14:paraId="31FBDCE0" w14:textId="77777777" w:rsidR="00C00791" w:rsidRDefault="00C00791" w:rsidP="00C00791">
      <w:pPr>
        <w:rPr>
          <w:sz w:val="20"/>
          <w:szCs w:val="20"/>
        </w:rPr>
      </w:pPr>
    </w:p>
    <w:p w14:paraId="26555B30" w14:textId="77777777" w:rsidR="00C00791" w:rsidRDefault="00C00791" w:rsidP="00C00791">
      <w:pPr>
        <w:rPr>
          <w:sz w:val="20"/>
          <w:szCs w:val="20"/>
        </w:rPr>
      </w:pPr>
    </w:p>
    <w:p w14:paraId="339803CD" w14:textId="77777777" w:rsidR="00C00791" w:rsidRDefault="00C00791" w:rsidP="00C007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9D68E43" w14:textId="77777777" w:rsidR="00C00791" w:rsidRDefault="00C00791" w:rsidP="00C00791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671C826B" w14:textId="77777777" w:rsidR="00C00791" w:rsidRDefault="00C00791" w:rsidP="00C00791">
      <w:pPr>
        <w:rPr>
          <w:sz w:val="20"/>
          <w:szCs w:val="20"/>
        </w:rPr>
      </w:pP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4629A6DF" w14:textId="77777777" w:rsidR="00775188" w:rsidRDefault="00775188">
      <w:pPr>
        <w:rPr>
          <w:sz w:val="20"/>
          <w:szCs w:val="20"/>
        </w:rPr>
      </w:pPr>
    </w:p>
    <w:p w14:paraId="46F38331" w14:textId="77777777" w:rsidR="00775188" w:rsidRDefault="00775188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70" w:tblpY="144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EA0567" w14:paraId="6F59CC1F" w14:textId="77777777" w:rsidTr="00EA0567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35112F8C" w14:textId="77777777" w:rsidR="00EA0567" w:rsidRPr="00266376" w:rsidRDefault="00EA0567" w:rsidP="00EA0567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EA0567" w14:paraId="5ECE0F38" w14:textId="77777777" w:rsidTr="00EA0567">
        <w:trPr>
          <w:trHeight w:val="349"/>
        </w:trPr>
        <w:tc>
          <w:tcPr>
            <w:tcW w:w="1345" w:type="dxa"/>
          </w:tcPr>
          <w:p w14:paraId="62F8BF4A" w14:textId="77777777" w:rsidR="00EA0567" w:rsidRDefault="00EA0567" w:rsidP="00EA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7BCF67CD" w14:textId="2C5EFEED" w:rsidR="00EA0567" w:rsidRDefault="00ED25D6" w:rsidP="00EA0567">
            <w:pPr>
              <w:rPr>
                <w:sz w:val="20"/>
                <w:szCs w:val="20"/>
              </w:rPr>
            </w:pPr>
            <w:hyperlink r:id="rId11" w:history="1">
              <w:r w:rsidR="00EA0567" w:rsidRPr="00EA0567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https://www.canada.ca/en/public-health/services/laboratory-biosafety-biosecurity/pathogen-safety-data-sheets-risk-assessment/vesicular-stomatitis-virus.html</w:t>
              </w:r>
            </w:hyperlink>
          </w:p>
        </w:tc>
      </w:tr>
      <w:tr w:rsidR="00EA0567" w14:paraId="17D56268" w14:textId="77777777" w:rsidTr="00EA0567">
        <w:trPr>
          <w:trHeight w:val="172"/>
        </w:trPr>
        <w:tc>
          <w:tcPr>
            <w:tcW w:w="1345" w:type="dxa"/>
          </w:tcPr>
          <w:p w14:paraId="222AB8FA" w14:textId="77777777" w:rsidR="00EA0567" w:rsidRDefault="00EA0567" w:rsidP="00EA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C071C4B" w14:textId="77777777" w:rsidR="00EA0567" w:rsidRDefault="00ED25D6" w:rsidP="00EA0567">
            <w:pPr>
              <w:rPr>
                <w:sz w:val="20"/>
                <w:szCs w:val="20"/>
              </w:rPr>
            </w:pPr>
            <w:hyperlink r:id="rId12" w:history="1">
              <w:r w:rsidR="00EA0567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EA0567" w14:paraId="1F7DAFDD" w14:textId="77777777" w:rsidTr="00EA0567">
        <w:trPr>
          <w:trHeight w:val="358"/>
        </w:trPr>
        <w:tc>
          <w:tcPr>
            <w:tcW w:w="1345" w:type="dxa"/>
          </w:tcPr>
          <w:p w14:paraId="702CFE9A" w14:textId="4F06764E" w:rsidR="00EA0567" w:rsidRDefault="00EB5471" w:rsidP="00EA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Virological Methods</w:t>
            </w:r>
            <w:r w:rsidR="00EA0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09305D73" w14:textId="04D0E437" w:rsidR="00EA0567" w:rsidRDefault="00ED25D6" w:rsidP="00EA0567">
            <w:pPr>
              <w:rPr>
                <w:sz w:val="20"/>
                <w:szCs w:val="20"/>
              </w:rPr>
            </w:pPr>
            <w:hyperlink r:id="rId13" w:history="1">
              <w:r w:rsidR="00EB5471" w:rsidRPr="00EB5471">
                <w:rPr>
                  <w:rStyle w:val="Hyperlink"/>
                  <w:sz w:val="20"/>
                  <w:szCs w:val="20"/>
                </w:rPr>
                <w:t>https://www.ncbi.nlm.nih.gov/pmc/articles/PMC2956192/</w:t>
              </w:r>
            </w:hyperlink>
          </w:p>
        </w:tc>
      </w:tr>
      <w:tr w:rsidR="00EA0567" w14:paraId="117FC54C" w14:textId="77777777" w:rsidTr="00EA0567">
        <w:trPr>
          <w:trHeight w:val="1252"/>
        </w:trPr>
        <w:tc>
          <w:tcPr>
            <w:tcW w:w="1345" w:type="dxa"/>
          </w:tcPr>
          <w:p w14:paraId="33D075C5" w14:textId="523ACC65" w:rsidR="00EA0567" w:rsidRDefault="00361200" w:rsidP="00EA0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Frontiers</w:t>
            </w:r>
            <w:r w:rsidR="00EA0567">
              <w:rPr>
                <w:sz w:val="20"/>
                <w:szCs w:val="20"/>
              </w:rPr>
              <w:t xml:space="preserve"> in Microbiology</w:t>
            </w:r>
          </w:p>
        </w:tc>
        <w:tc>
          <w:tcPr>
            <w:tcW w:w="4160" w:type="dxa"/>
          </w:tcPr>
          <w:p w14:paraId="687FFFA8" w14:textId="381C379F" w:rsidR="00EA0567" w:rsidRDefault="00ED25D6" w:rsidP="00EA0567">
            <w:pPr>
              <w:rPr>
                <w:sz w:val="20"/>
                <w:szCs w:val="20"/>
              </w:rPr>
            </w:pPr>
            <w:hyperlink r:id="rId14" w:history="1">
              <w:r w:rsidR="00361200" w:rsidRPr="00361200">
                <w:rPr>
                  <w:rStyle w:val="Hyperlink"/>
                  <w:sz w:val="20"/>
                  <w:szCs w:val="20"/>
                </w:rPr>
                <w:t>http://journal.frontiersin.org/article/10.3389/fmicb.2011.00272/full</w:t>
              </w:r>
            </w:hyperlink>
          </w:p>
        </w:tc>
      </w:tr>
    </w:tbl>
    <w:p w14:paraId="0986FC5F" w14:textId="77777777" w:rsidR="00775188" w:rsidRDefault="00775188">
      <w:pPr>
        <w:rPr>
          <w:sz w:val="20"/>
          <w:szCs w:val="20"/>
        </w:rPr>
      </w:pPr>
    </w:p>
    <w:p w14:paraId="1A8C8F79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02D1C444" w14:textId="77777777" w:rsidR="00775188" w:rsidRDefault="00775188">
      <w:pPr>
        <w:rPr>
          <w:sz w:val="20"/>
          <w:szCs w:val="20"/>
        </w:rPr>
      </w:pPr>
    </w:p>
    <w:p w14:paraId="6FCCF31D" w14:textId="77777777" w:rsidR="00775188" w:rsidRDefault="00775188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6A775E4A" w14:textId="77777777" w:rsidR="0091239C" w:rsidRDefault="0091239C">
      <w:pPr>
        <w:rPr>
          <w:sz w:val="20"/>
          <w:szCs w:val="20"/>
        </w:rPr>
      </w:pPr>
    </w:p>
    <w:p w14:paraId="00692BC8" w14:textId="77777777" w:rsidR="0091239C" w:rsidRDefault="0091239C">
      <w:pPr>
        <w:rPr>
          <w:sz w:val="20"/>
          <w:szCs w:val="20"/>
        </w:rPr>
      </w:pPr>
    </w:p>
    <w:p w14:paraId="4F77B12C" w14:textId="77777777" w:rsidR="0098772A" w:rsidRDefault="0098772A">
      <w:pPr>
        <w:rPr>
          <w:sz w:val="20"/>
          <w:szCs w:val="20"/>
        </w:rPr>
      </w:pPr>
    </w:p>
    <w:p w14:paraId="11A7994D" w14:textId="77777777" w:rsidR="00C00791" w:rsidRDefault="00C00791">
      <w:pPr>
        <w:rPr>
          <w:sz w:val="20"/>
          <w:szCs w:val="20"/>
        </w:rPr>
      </w:pPr>
    </w:p>
    <w:p w14:paraId="5FE404CD" w14:textId="77777777" w:rsidR="00C00791" w:rsidRDefault="00C00791" w:rsidP="00C00791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9991AD7" w14:textId="77777777" w:rsidR="00C00791" w:rsidRDefault="00C00791" w:rsidP="00C00791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C00791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28C1" w14:textId="77777777" w:rsidR="00ED25D6" w:rsidRDefault="00ED25D6" w:rsidP="00F15A99">
      <w:r>
        <w:separator/>
      </w:r>
    </w:p>
  </w:endnote>
  <w:endnote w:type="continuationSeparator" w:id="0">
    <w:p w14:paraId="0EB4D6DE" w14:textId="77777777" w:rsidR="00ED25D6" w:rsidRDefault="00ED25D6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B2C3" w14:textId="13F98045" w:rsidR="00C00791" w:rsidRDefault="00C00791">
    <w:pPr>
      <w:pStyle w:val="Footer"/>
    </w:pPr>
    <w:r>
      <w:t xml:space="preserve">Principal Investigator: ___________________________________     IBC </w:t>
    </w:r>
    <w:r w:rsidR="00AB525A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F120" w14:textId="77777777" w:rsidR="00ED25D6" w:rsidRDefault="00ED25D6" w:rsidP="00F15A99">
      <w:r>
        <w:separator/>
      </w:r>
    </w:p>
  </w:footnote>
  <w:footnote w:type="continuationSeparator" w:id="0">
    <w:p w14:paraId="7C2E3FC5" w14:textId="77777777" w:rsidR="00ED25D6" w:rsidRDefault="00ED25D6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669C6342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0E3739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0E3739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1AE57CE7" w:rsidR="0088621B" w:rsidRDefault="001E76B6" w:rsidP="001E76B6">
    <w:pPr>
      <w:jc w:val="center"/>
    </w:pPr>
    <w:r>
      <w:t>Vesicular Stomatitis Virus (VSV)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55347"/>
    <w:rsid w:val="000E3739"/>
    <w:rsid w:val="00105D81"/>
    <w:rsid w:val="001137DE"/>
    <w:rsid w:val="0011612B"/>
    <w:rsid w:val="00146440"/>
    <w:rsid w:val="00163E94"/>
    <w:rsid w:val="001B4B26"/>
    <w:rsid w:val="001C3B8D"/>
    <w:rsid w:val="001E76B6"/>
    <w:rsid w:val="00266376"/>
    <w:rsid w:val="002920ED"/>
    <w:rsid w:val="0031433E"/>
    <w:rsid w:val="00344E3E"/>
    <w:rsid w:val="003450B1"/>
    <w:rsid w:val="00361200"/>
    <w:rsid w:val="00371EBB"/>
    <w:rsid w:val="00420891"/>
    <w:rsid w:val="004353EA"/>
    <w:rsid w:val="00452F90"/>
    <w:rsid w:val="004A5500"/>
    <w:rsid w:val="004A786C"/>
    <w:rsid w:val="004D0C5D"/>
    <w:rsid w:val="004F4C49"/>
    <w:rsid w:val="004F4CD9"/>
    <w:rsid w:val="005126C1"/>
    <w:rsid w:val="005733C9"/>
    <w:rsid w:val="005A7343"/>
    <w:rsid w:val="006779A8"/>
    <w:rsid w:val="00680AC1"/>
    <w:rsid w:val="0069552C"/>
    <w:rsid w:val="006F0EA4"/>
    <w:rsid w:val="007744F5"/>
    <w:rsid w:val="00775188"/>
    <w:rsid w:val="007757B0"/>
    <w:rsid w:val="007A1A23"/>
    <w:rsid w:val="007A1D19"/>
    <w:rsid w:val="007F7401"/>
    <w:rsid w:val="00824C80"/>
    <w:rsid w:val="00826ADC"/>
    <w:rsid w:val="008430F7"/>
    <w:rsid w:val="008643D3"/>
    <w:rsid w:val="0088621B"/>
    <w:rsid w:val="0091239C"/>
    <w:rsid w:val="00914B88"/>
    <w:rsid w:val="009378CA"/>
    <w:rsid w:val="0098772A"/>
    <w:rsid w:val="009E6568"/>
    <w:rsid w:val="00A40E96"/>
    <w:rsid w:val="00AB2BDD"/>
    <w:rsid w:val="00AB525A"/>
    <w:rsid w:val="00B04FDA"/>
    <w:rsid w:val="00B1093C"/>
    <w:rsid w:val="00B85B92"/>
    <w:rsid w:val="00C00791"/>
    <w:rsid w:val="00C37A4E"/>
    <w:rsid w:val="00CA5349"/>
    <w:rsid w:val="00CD543C"/>
    <w:rsid w:val="00CE3CBB"/>
    <w:rsid w:val="00D55D2E"/>
    <w:rsid w:val="00D67EC6"/>
    <w:rsid w:val="00D91045"/>
    <w:rsid w:val="00DA3885"/>
    <w:rsid w:val="00E05761"/>
    <w:rsid w:val="00E265EF"/>
    <w:rsid w:val="00E37F21"/>
    <w:rsid w:val="00E62D04"/>
    <w:rsid w:val="00EA0567"/>
    <w:rsid w:val="00EB5471"/>
    <w:rsid w:val="00ED25D6"/>
    <w:rsid w:val="00F04586"/>
    <w:rsid w:val="00F15A99"/>
    <w:rsid w:val="00F218A0"/>
    <w:rsid w:val="00F30F01"/>
    <w:rsid w:val="00F608AC"/>
    <w:rsid w:val="00FB64F1"/>
    <w:rsid w:val="00FB693D"/>
    <w:rsid w:val="00FC4DA2"/>
    <w:rsid w:val="00FD6F6C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E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4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B54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cbi.nlm.nih.gov/pmc/articles/PMC2956192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vesicular-stomatitis-viru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hyperlink" Target="http://journal.frontiersin.org/article/10.3389/fmicb.2011.00272/f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26</cp:revision>
  <cp:lastPrinted>2017-06-13T17:58:00Z</cp:lastPrinted>
  <dcterms:created xsi:type="dcterms:W3CDTF">2017-06-13T12:51:00Z</dcterms:created>
  <dcterms:modified xsi:type="dcterms:W3CDTF">2019-10-09T19:49:00Z</dcterms:modified>
</cp:coreProperties>
</file>