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190DA45A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The BARD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3045DC">
        <w:rPr>
          <w:rFonts w:eastAsia="Times New Roman" w:cstheme="minorHAnsi"/>
          <w:color w:val="454545"/>
          <w:shd w:val="clear" w:color="auto" w:fill="FFFFFF"/>
        </w:rPr>
        <w:t>registration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12973EE9" w:rsidR="00923D90" w:rsidRPr="005D69B7" w:rsidRDefault="00923D90" w:rsidP="005D69B7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5D69B7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516FE6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1FDAA9DF" w:rsidR="001D427C" w:rsidRPr="00516FE6" w:rsidRDefault="00923D90" w:rsidP="00516FE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 w:rsidR="001D427C"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516FE6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="001D427C" w:rsidRPr="00516FE6">
        <w:rPr>
          <w:rFonts w:cstheme="minorHAnsi"/>
          <w:b/>
        </w:rPr>
        <w:t>any changes that you make.</w:t>
      </w:r>
    </w:p>
    <w:p w14:paraId="77129587" w14:textId="66FA2296" w:rsidR="00DC0F42" w:rsidRDefault="00516FE6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261461E7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5D69B7">
        <w:rPr>
          <w:rFonts w:cstheme="minorHAnsi"/>
          <w:b/>
        </w:rPr>
        <w:t xml:space="preserve">master protocol </w:t>
      </w:r>
      <w:r w:rsidR="00447103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5A090A7" w14:textId="32E46E11" w:rsidR="00F15A99" w:rsidRPr="00E10A42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lastRenderedPageBreak/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2B20F515" w:rsidR="00C13ABF" w:rsidRPr="003237DD" w:rsidRDefault="00E10A42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the Picornaviridae family.  Small non-enveloped viruses with single strand RNA genome.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1C550DA7" w14:textId="63499A7D" w:rsidR="00F15A99" w:rsidRPr="00F15A99" w:rsidRDefault="00E10A4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Strain Specific </w:t>
            </w:r>
            <w:r w:rsidR="00F15A99"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32B0D8CB" w:rsidR="00D34367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serotypes exist (Polio 1 – 3), wild type and attenuated strains, Oral Polio Vaccine (OPV), Inactivated Polio Vaccine (IPV)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46E0CA00" w:rsidR="00C13ABF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  <w:r w:rsidR="00E10A42">
              <w:rPr>
                <w:sz w:val="20"/>
                <w:szCs w:val="20"/>
              </w:rPr>
              <w:t xml:space="preserve"> are the only known host and reservoir.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326B88E7" w:rsidR="00C13ABF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Poliovirus is transmitted fecal orally (through ingestion of the virus).  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66968787" w14:textId="77777777" w:rsidR="00E10A42" w:rsidRDefault="00E10A42" w:rsidP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Exposure to wild-type polio (in nature) causes asymptomatic infection in 90-95% of unvaccinated individuals.  </w:t>
            </w:r>
          </w:p>
          <w:p w14:paraId="37DA2F51" w14:textId="77777777" w:rsidR="00E10A42" w:rsidRDefault="00E10A42" w:rsidP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Ingestion of OPV can rarely cause vaccine-associated paralytic polio (VAPP), which occurs only in unvaccinated persons (usually children) or those with B-cell immunodeficiencies. The risk is 1/900,000.</w:t>
            </w:r>
          </w:p>
          <w:p w14:paraId="47685B17" w14:textId="48561822" w:rsidR="00C13ABF" w:rsidRDefault="00E10A42" w:rsidP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Paralytic polio manifests as a spectrum of weakness and asymmetric loss of muscle tone, which may progress over 3-5 days to paralysis and may include encephalitis.  Major muscle groups including respiratory muscles may be involved.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4A6B54BD" w:rsidR="00F04586" w:rsidRPr="00D67EC6" w:rsidRDefault="00E10A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Infectious</w:t>
            </w:r>
            <w:r w:rsidR="00983E97">
              <w:rPr>
                <w:b/>
                <w:i/>
                <w:sz w:val="20"/>
                <w:szCs w:val="20"/>
              </w:rPr>
              <w:t xml:space="preserve"> </w:t>
            </w:r>
            <w:r w:rsidR="00D67EC6" w:rsidRPr="00D67EC6">
              <w:rPr>
                <w:b/>
                <w:i/>
                <w:sz w:val="20"/>
                <w:szCs w:val="20"/>
              </w:rPr>
              <w:t>Dose</w:t>
            </w:r>
          </w:p>
        </w:tc>
        <w:tc>
          <w:tcPr>
            <w:tcW w:w="4230" w:type="dxa"/>
          </w:tcPr>
          <w:p w14:paraId="4A533FA3" w14:textId="0A5B91CA" w:rsidR="00F04586" w:rsidRPr="00F441A2" w:rsidRDefault="00F04586">
            <w:pPr>
              <w:rPr>
                <w:sz w:val="20"/>
                <w:szCs w:val="20"/>
              </w:rPr>
            </w:pP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EDDAD78" w14:textId="77777777" w:rsidR="00E10A42" w:rsidRDefault="00E10A42" w:rsidP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non-paralytic polio:  3-6 days</w:t>
            </w:r>
          </w:p>
          <w:p w14:paraId="296DEB67" w14:textId="0954AE83" w:rsidR="00F04586" w:rsidRDefault="00E10A42" w:rsidP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paralytic polio: 7 – 21 days.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5FD86B21" w:rsidR="00D67EC6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symptomatic treatment is available.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52FBD066" w:rsidR="00D67EC6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Polio Vaccine (OPV), and Inactivated Polio Vaccine (IPV)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10A6B925" w:rsidR="00D67EC6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symptomatic treatment is available.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3B341F3B" w:rsidR="00D67EC6" w:rsidRDefault="0032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</w:t>
            </w:r>
            <w:r w:rsidR="00E10A42">
              <w:rPr>
                <w:sz w:val="20"/>
                <w:szCs w:val="20"/>
              </w:rPr>
              <w:t xml:space="preserve"> and testing using serology or PCR.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71E29980" w:rsidR="00C13ABF" w:rsidRPr="00E10A42" w:rsidRDefault="00E10A42" w:rsidP="00421DD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0A42">
              <w:rPr>
                <w:sz w:val="20"/>
                <w:szCs w:val="20"/>
              </w:rPr>
              <w:t>Unvaccinated children or persons with B cell immunodeficiencies are at higher risk of becoming infected if exposed. All individuals working with OPV are required to receive full Polio vaccination.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p w14:paraId="5F0BAA1C" w14:textId="77777777" w:rsidR="00E37F21" w:rsidRDefault="00E37F21">
      <w:pPr>
        <w:rPr>
          <w:sz w:val="20"/>
          <w:szCs w:val="20"/>
        </w:rPr>
      </w:pPr>
    </w:p>
    <w:p w14:paraId="52315A75" w14:textId="4A68231A" w:rsidR="00FE2656" w:rsidRDefault="00FE2656">
      <w:pPr>
        <w:rPr>
          <w:sz w:val="20"/>
          <w:szCs w:val="20"/>
        </w:rPr>
      </w:pPr>
    </w:p>
    <w:p w14:paraId="696C1205" w14:textId="4C631C50" w:rsidR="005733C9" w:rsidRDefault="005733C9">
      <w:pPr>
        <w:rPr>
          <w:sz w:val="20"/>
          <w:szCs w:val="20"/>
        </w:rPr>
      </w:pPr>
    </w:p>
    <w:p w14:paraId="11421749" w14:textId="2F84066A" w:rsidR="00E10A42" w:rsidRDefault="00E10A42">
      <w:pPr>
        <w:rPr>
          <w:sz w:val="20"/>
          <w:szCs w:val="20"/>
        </w:rPr>
      </w:pPr>
    </w:p>
    <w:p w14:paraId="76F6E181" w14:textId="7835F943" w:rsidR="00E10A42" w:rsidRDefault="00E10A42">
      <w:pPr>
        <w:rPr>
          <w:sz w:val="20"/>
          <w:szCs w:val="20"/>
        </w:rPr>
      </w:pPr>
    </w:p>
    <w:p w14:paraId="59B30AB0" w14:textId="44ADD854" w:rsidR="00E10A42" w:rsidRDefault="00E10A4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91"/>
        <w:tblW w:w="5756" w:type="dxa"/>
        <w:tblLook w:val="04A0" w:firstRow="1" w:lastRow="0" w:firstColumn="1" w:lastColumn="0" w:noHBand="0" w:noVBand="1"/>
      </w:tblPr>
      <w:tblGrid>
        <w:gridCol w:w="1436"/>
        <w:gridCol w:w="4320"/>
      </w:tblGrid>
      <w:tr w:rsidR="00E10A42" w14:paraId="2697C479" w14:textId="77777777" w:rsidTr="00E10A42">
        <w:tc>
          <w:tcPr>
            <w:tcW w:w="5756" w:type="dxa"/>
            <w:gridSpan w:val="2"/>
            <w:shd w:val="clear" w:color="auto" w:fill="538135" w:themeFill="accent6" w:themeFillShade="BF"/>
          </w:tcPr>
          <w:p w14:paraId="35CD7895" w14:textId="77777777" w:rsidR="00E10A42" w:rsidRPr="005733C9" w:rsidRDefault="00E10A42" w:rsidP="00E10A42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E10A42" w14:paraId="2952E2CA" w14:textId="77777777" w:rsidTr="00E10A42">
        <w:tc>
          <w:tcPr>
            <w:tcW w:w="1436" w:type="dxa"/>
          </w:tcPr>
          <w:p w14:paraId="27590F5B" w14:textId="204EB955" w:rsidR="00E10A42" w:rsidRPr="00E37F21" w:rsidRDefault="00E10A42" w:rsidP="00E10A42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Laboratory </w:t>
            </w:r>
            <w:r>
              <w:rPr>
                <w:b/>
                <w:i/>
                <w:sz w:val="20"/>
                <w:szCs w:val="20"/>
              </w:rPr>
              <w:t>Acquired Infections</w:t>
            </w:r>
          </w:p>
        </w:tc>
        <w:tc>
          <w:tcPr>
            <w:tcW w:w="4320" w:type="dxa"/>
          </w:tcPr>
          <w:p w14:paraId="587B4C30" w14:textId="77777777" w:rsidR="00E10A42" w:rsidRDefault="00E10A42" w:rsidP="00E10A42">
            <w:pPr>
              <w:pStyle w:val="CommentText"/>
            </w:pPr>
            <w:r>
              <w:t xml:space="preserve">Wild type and vaccine strain polio has minimal or no risk to the immunized laboratory worker, but is a potential threat to the eradication effort. </w:t>
            </w:r>
          </w:p>
          <w:p w14:paraId="333F9564" w14:textId="17C2E97C" w:rsidR="00E10A42" w:rsidRDefault="00E10A42" w:rsidP="00E10A42">
            <w:pPr>
              <w:pStyle w:val="CommentText"/>
            </w:pPr>
            <w:r>
              <w:t>There is potential risk to members of the household who are immunocompromised. Most vaccine-related polio has occurred when a person shedding the vaccine virus infected a household member with a predisposing immune defect.</w:t>
            </w:r>
          </w:p>
        </w:tc>
      </w:tr>
      <w:tr w:rsidR="00E10A42" w14:paraId="3141705D" w14:textId="77777777" w:rsidTr="00E10A42">
        <w:trPr>
          <w:trHeight w:val="334"/>
        </w:trPr>
        <w:tc>
          <w:tcPr>
            <w:tcW w:w="1436" w:type="dxa"/>
          </w:tcPr>
          <w:p w14:paraId="6BD32178" w14:textId="77777777" w:rsidR="00E10A42" w:rsidRPr="00E37F21" w:rsidRDefault="00E10A42" w:rsidP="00E10A42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1DB7DA61" w14:textId="77777777" w:rsidR="00E10A42" w:rsidRDefault="00E10A42" w:rsidP="00E10A42">
            <w:pPr>
              <w:rPr>
                <w:sz w:val="20"/>
                <w:szCs w:val="20"/>
              </w:rPr>
            </w:pPr>
          </w:p>
        </w:tc>
      </w:tr>
    </w:tbl>
    <w:p w14:paraId="15CF0EFA" w14:textId="77777777" w:rsidR="00E10A42" w:rsidRDefault="00E10A42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77777777" w:rsidR="005733C9" w:rsidRPr="00983E97" w:rsidRDefault="00680AC1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83E97">
              <w:rPr>
                <w:b/>
                <w:i/>
                <w:color w:val="000000" w:themeColor="text1"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5929C5C5" w14:textId="203D07F7" w:rsidR="005733C9" w:rsidRPr="00983E97" w:rsidRDefault="00E10A42" w:rsidP="00E10A4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cell cultures of laboratory adapted strains (RG2)</w:t>
            </w: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0F581268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21C4A1F6" w:rsidR="005733C9" w:rsidRDefault="00E10A42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animals infected with risk group 2 strains</w:t>
            </w: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40C6C924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6A4CD9D4" w:rsidR="004F4CD9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cell sorting, pipetting, pouring liquids, sonicating, loading syringes.</w:t>
            </w:r>
          </w:p>
        </w:tc>
      </w:tr>
      <w:tr w:rsidR="00983E97" w14:paraId="41CE5316" w14:textId="77777777" w:rsidTr="00C13ABF">
        <w:tc>
          <w:tcPr>
            <w:tcW w:w="1530" w:type="dxa"/>
          </w:tcPr>
          <w:p w14:paraId="6F5334EB" w14:textId="67A1E8B6" w:rsidR="00983E97" w:rsidRPr="00E37F21" w:rsidRDefault="00983E97" w:rsidP="00983E97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</w:t>
            </w:r>
            <w:r w:rsidR="00E10A42">
              <w:rPr>
                <w:b/>
                <w:i/>
                <w:sz w:val="20"/>
                <w:szCs w:val="20"/>
              </w:rPr>
              <w:t xml:space="preserve"> (BSC)</w:t>
            </w:r>
          </w:p>
        </w:tc>
        <w:tc>
          <w:tcPr>
            <w:tcW w:w="4250" w:type="dxa"/>
          </w:tcPr>
          <w:p w14:paraId="662202B2" w14:textId="439F4FFD" w:rsidR="00983E97" w:rsidRDefault="00E10A42" w:rsidP="0098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aerosol-generating activities, high concentrations, or large volumes.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30771DD8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</w:t>
            </w:r>
            <w:r w:rsidR="00E10A42">
              <w:rPr>
                <w:sz w:val="20"/>
                <w:szCs w:val="20"/>
              </w:rPr>
              <w:t>.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764ECA48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CF1EE4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398B6633" w:rsidR="009E6568" w:rsidRDefault="0051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gloves, lab coat, appropriate eye/face protection.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697B1BBF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5" w:type="dxa"/>
          </w:tcPr>
          <w:p w14:paraId="3F8D51A6" w14:textId="15A6BA2A" w:rsidR="00F608AC" w:rsidRDefault="00E10A42" w:rsidP="00FE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dependent</w:t>
            </w:r>
          </w:p>
        </w:tc>
      </w:tr>
    </w:tbl>
    <w:p w14:paraId="12C9E9B3" w14:textId="0977F57C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115B34" w14:textId="77777777" w:rsidR="00757E06" w:rsidRDefault="00757E06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51C165A3" w:rsidR="00E37F21" w:rsidRDefault="00E10A42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Susceptible to 1% sodium hypochlorite, 2% glutaraldehyde, 70% ethanol and formaldehyde</w:t>
            </w:r>
            <w:r w:rsidR="0050120A">
              <w:rPr>
                <w:sz w:val="20"/>
                <w:szCs w:val="20"/>
              </w:rPr>
              <w:t xml:space="preserve"> 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1000393F" w:rsidR="00E37F21" w:rsidRPr="0036122E" w:rsidRDefault="00E10A42" w:rsidP="00C13ABF">
            <w:r>
              <w:rPr>
                <w:sz w:val="20"/>
                <w:szCs w:val="20"/>
              </w:rPr>
              <w:t>Inactivated by heat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7B3591A9" w:rsidR="00E37F21" w:rsidRPr="00E37F21" w:rsidRDefault="003612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Stability in Environment</w:t>
            </w:r>
          </w:p>
        </w:tc>
        <w:tc>
          <w:tcPr>
            <w:tcW w:w="4393" w:type="dxa"/>
          </w:tcPr>
          <w:p w14:paraId="34F93AD8" w14:textId="38536C6B" w:rsidR="00E37F21" w:rsidRDefault="00E10A42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Capable of surviving outside of the host in feces, water, and food.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2C031240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516FE6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775188"/>
        </w:tc>
      </w:tr>
      <w:tr w:rsidR="00C13ABF" w:rsidRPr="004A786C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775188"/>
        </w:tc>
      </w:tr>
      <w:tr w:rsidR="00C13ABF" w:rsidRPr="004A786C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775188"/>
        </w:tc>
      </w:tr>
      <w:tr w:rsidR="00C13ABF" w:rsidRPr="004A786C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775188"/>
        </w:tc>
      </w:tr>
      <w:tr w:rsidR="00C13ABF" w:rsidRPr="004A786C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775188"/>
        </w:tc>
      </w:tr>
      <w:tr w:rsidR="00C13ABF" w:rsidRPr="004A786C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775188"/>
        </w:tc>
      </w:tr>
      <w:tr w:rsidR="00C13ABF" w:rsidRPr="004A786C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775188"/>
        </w:tc>
      </w:tr>
      <w:tr w:rsidR="00C13ABF" w:rsidRPr="004A786C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775188"/>
        </w:tc>
      </w:tr>
      <w:tr w:rsidR="006032FB" w:rsidRPr="004A786C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775188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4C5EFF13" w14:textId="77777777" w:rsidR="006032FB" w:rsidRDefault="006032FB">
      <w:pPr>
        <w:rPr>
          <w:sz w:val="20"/>
          <w:szCs w:val="20"/>
        </w:rPr>
      </w:pPr>
    </w:p>
    <w:p w14:paraId="736C5BBC" w14:textId="77777777" w:rsidR="006032FB" w:rsidRDefault="006032FB">
      <w:pPr>
        <w:rPr>
          <w:sz w:val="20"/>
          <w:szCs w:val="20"/>
        </w:rPr>
      </w:pPr>
    </w:p>
    <w:p w14:paraId="1F08215A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55C02846" w14:textId="52B1456B" w:rsidR="006032FB" w:rsidRPr="00DC0F42" w:rsidRDefault="006032FB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2002AAB" w14:textId="77777777" w:rsidR="006032FB" w:rsidRDefault="006032F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47D5E21E" w14:textId="77777777" w:rsidR="006032FB" w:rsidRDefault="006032FB">
      <w:pPr>
        <w:rPr>
          <w:sz w:val="20"/>
          <w:szCs w:val="20"/>
        </w:rPr>
      </w:pPr>
    </w:p>
    <w:p w14:paraId="735066D2" w14:textId="75C10B76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E8582E4" w14:textId="5B9E635E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2FB67BB" w14:textId="77777777" w:rsidR="006032FB" w:rsidRDefault="006032FB">
      <w:pPr>
        <w:rPr>
          <w:sz w:val="20"/>
          <w:szCs w:val="20"/>
        </w:rPr>
      </w:pPr>
    </w:p>
    <w:p w14:paraId="51C730FF" w14:textId="77777777" w:rsidR="006032FB" w:rsidRDefault="006032FB">
      <w:pPr>
        <w:rPr>
          <w:sz w:val="20"/>
          <w:szCs w:val="20"/>
        </w:rPr>
      </w:pPr>
    </w:p>
    <w:p w14:paraId="61AF8C17" w14:textId="77777777" w:rsidR="006032FB" w:rsidRDefault="006032FB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7A080368" w14:textId="77777777" w:rsidR="001106C3" w:rsidRDefault="001106C3">
      <w:pPr>
        <w:rPr>
          <w:sz w:val="20"/>
          <w:szCs w:val="20"/>
        </w:rPr>
      </w:pPr>
    </w:p>
    <w:p w14:paraId="42990AC5" w14:textId="77777777" w:rsidR="009F46B5" w:rsidRDefault="009F46B5">
      <w:pPr>
        <w:rPr>
          <w:sz w:val="20"/>
          <w:szCs w:val="20"/>
        </w:rPr>
      </w:pPr>
    </w:p>
    <w:tbl>
      <w:tblPr>
        <w:tblStyle w:val="TableGrid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91239C" w14:paraId="1F3256D4" w14:textId="77777777" w:rsidTr="0091239C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91239C">
        <w:trPr>
          <w:trHeight w:val="349"/>
        </w:trPr>
        <w:tc>
          <w:tcPr>
            <w:tcW w:w="1345" w:type="dxa"/>
          </w:tcPr>
          <w:p w14:paraId="6939D296" w14:textId="2196BACF" w:rsidR="00266376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4160" w:type="dxa"/>
          </w:tcPr>
          <w:p w14:paraId="77B94A55" w14:textId="77777777" w:rsidR="00E10A42" w:rsidRDefault="00E10A42" w:rsidP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 Laboratory Manual 4</w:t>
            </w:r>
            <w:r w:rsidRPr="003031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2004</w:t>
            </w:r>
          </w:p>
          <w:p w14:paraId="6A50C0F2" w14:textId="1A658B01" w:rsidR="0098772A" w:rsidRPr="00481C1B" w:rsidRDefault="00FE391E" w:rsidP="00E10A42">
            <w:hyperlink r:id="rId11" w:history="1">
              <w:r w:rsidR="00E10A42" w:rsidRPr="001A5374">
                <w:rPr>
                  <w:rStyle w:val="Hyperlink"/>
                  <w:sz w:val="20"/>
                  <w:szCs w:val="20"/>
                </w:rPr>
                <w:t>http://polioeradication.org/wp-content/uploads/2017/05/Polio_Lab_Manual04.pdf</w:t>
              </w:r>
            </w:hyperlink>
          </w:p>
        </w:tc>
      </w:tr>
      <w:tr w:rsidR="0091239C" w14:paraId="3F3E7192" w14:textId="77777777" w:rsidTr="0091239C">
        <w:trPr>
          <w:trHeight w:val="172"/>
        </w:trPr>
        <w:tc>
          <w:tcPr>
            <w:tcW w:w="1345" w:type="dxa"/>
          </w:tcPr>
          <w:p w14:paraId="2183B81A" w14:textId="78FEBB8C" w:rsidR="00266376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</w:tc>
        <w:tc>
          <w:tcPr>
            <w:tcW w:w="4160" w:type="dxa"/>
          </w:tcPr>
          <w:p w14:paraId="3ED28BAE" w14:textId="77777777" w:rsidR="00E10A42" w:rsidRDefault="00E10A42" w:rsidP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Travelers Health: The Yellow Book- Chapter 3 Poliomyelitis</w:t>
            </w:r>
          </w:p>
          <w:p w14:paraId="553A78F0" w14:textId="2E45708C" w:rsidR="0098772A" w:rsidRDefault="00FE391E" w:rsidP="00E10A42">
            <w:pPr>
              <w:rPr>
                <w:sz w:val="20"/>
                <w:szCs w:val="20"/>
              </w:rPr>
            </w:pPr>
            <w:hyperlink r:id="rId12" w:history="1">
              <w:r w:rsidR="00E10A42" w:rsidRPr="001A5374">
                <w:rPr>
                  <w:rStyle w:val="Hyperlink"/>
                  <w:sz w:val="20"/>
                  <w:szCs w:val="20"/>
                </w:rPr>
                <w:t>https://wwwnc.cdc.gov/travel/yellowbook/2020/travel-related-infectious-diseases/poliomyelitis</w:t>
              </w:r>
            </w:hyperlink>
          </w:p>
        </w:tc>
      </w:tr>
      <w:tr w:rsidR="0091239C" w14:paraId="313377DA" w14:textId="77777777" w:rsidTr="0091239C">
        <w:trPr>
          <w:trHeight w:val="358"/>
        </w:trPr>
        <w:tc>
          <w:tcPr>
            <w:tcW w:w="1345" w:type="dxa"/>
          </w:tcPr>
          <w:p w14:paraId="5997B478" w14:textId="60740DCA" w:rsidR="00266376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</w:tc>
        <w:tc>
          <w:tcPr>
            <w:tcW w:w="4160" w:type="dxa"/>
          </w:tcPr>
          <w:p w14:paraId="72610413" w14:textId="77777777" w:rsidR="00E10A42" w:rsidRDefault="00E10A42" w:rsidP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Pink Book: Epidemiology and prevention of vaccine preventable diseases – Chapter 18 Poliomyelitis</w:t>
            </w:r>
          </w:p>
          <w:p w14:paraId="2BF355E8" w14:textId="0EE63E1F" w:rsidR="0098772A" w:rsidRPr="00421DD1" w:rsidRDefault="00FE391E" w:rsidP="00E10A42">
            <w:hyperlink r:id="rId13" w:history="1">
              <w:r w:rsidR="00E10A42" w:rsidRPr="001A5374">
                <w:rPr>
                  <w:rStyle w:val="Hyperlink"/>
                  <w:sz w:val="20"/>
                  <w:szCs w:val="20"/>
                </w:rPr>
                <w:t>https://www.cdc.gov/vaccines/pubs/pinkbook/polio.html</w:t>
              </w:r>
            </w:hyperlink>
          </w:p>
        </w:tc>
      </w:tr>
      <w:tr w:rsidR="0091239C" w14:paraId="02218B8B" w14:textId="77777777" w:rsidTr="0091239C">
        <w:trPr>
          <w:trHeight w:val="1252"/>
        </w:trPr>
        <w:tc>
          <w:tcPr>
            <w:tcW w:w="1345" w:type="dxa"/>
          </w:tcPr>
          <w:p w14:paraId="1E89C67B" w14:textId="311411D1" w:rsidR="00266376" w:rsidRDefault="00E1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69FC505F" w14:textId="0224F0E7" w:rsidR="00E10A42" w:rsidRDefault="00FE391E" w:rsidP="00E10A42">
            <w:pPr>
              <w:rPr>
                <w:sz w:val="20"/>
                <w:szCs w:val="20"/>
              </w:rPr>
            </w:pPr>
            <w:hyperlink r:id="rId14" w:history="1">
              <w:r w:rsidR="00E10A42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  <w:r w:rsidR="00E10A42">
              <w:rPr>
                <w:sz w:val="20"/>
                <w:szCs w:val="20"/>
              </w:rPr>
              <w:t xml:space="preserve"> </w:t>
            </w:r>
          </w:p>
          <w:p w14:paraId="26901FD2" w14:textId="23316963" w:rsidR="0098772A" w:rsidRDefault="0098772A" w:rsidP="00E10A42">
            <w:pPr>
              <w:rPr>
                <w:sz w:val="20"/>
                <w:szCs w:val="20"/>
              </w:rPr>
            </w:pPr>
          </w:p>
        </w:tc>
      </w:tr>
    </w:tbl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4465F44E" w:rsidR="0091239C" w:rsidRDefault="0091239C">
      <w:pPr>
        <w:rPr>
          <w:sz w:val="20"/>
          <w:szCs w:val="20"/>
        </w:rPr>
      </w:pPr>
    </w:p>
    <w:p w14:paraId="165A2E07" w14:textId="77777777" w:rsidR="00BE083D" w:rsidRDefault="00BE083D">
      <w:pPr>
        <w:rPr>
          <w:sz w:val="20"/>
          <w:szCs w:val="20"/>
        </w:rPr>
      </w:pPr>
    </w:p>
    <w:p w14:paraId="7343E4F8" w14:textId="0EB3FC47" w:rsidR="00FB4CD0" w:rsidRDefault="00FB4CD0">
      <w:pPr>
        <w:rPr>
          <w:sz w:val="20"/>
          <w:szCs w:val="20"/>
        </w:rPr>
      </w:pPr>
    </w:p>
    <w:p w14:paraId="29E1DEC6" w14:textId="77777777" w:rsidR="00FB4CD0" w:rsidRDefault="00FB4CD0">
      <w:pPr>
        <w:rPr>
          <w:sz w:val="20"/>
          <w:szCs w:val="20"/>
        </w:rPr>
      </w:pPr>
    </w:p>
    <w:p w14:paraId="632CFCAC" w14:textId="77777777" w:rsidR="006032FB" w:rsidRDefault="006032FB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4FE634A4" w14:textId="2E4D2E91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6A775E4A" w14:textId="2746A115" w:rsidR="0091239C" w:rsidRDefault="006032F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256E" w14:textId="77777777" w:rsidR="00FE391E" w:rsidRDefault="00FE391E" w:rsidP="00F15A99">
      <w:r>
        <w:separator/>
      </w:r>
    </w:p>
  </w:endnote>
  <w:endnote w:type="continuationSeparator" w:id="0">
    <w:p w14:paraId="588F2958" w14:textId="77777777" w:rsidR="00FE391E" w:rsidRDefault="00FE391E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7F35" w14:textId="4FC5C6BA" w:rsidR="001106C3" w:rsidRDefault="001106C3">
    <w:pPr>
      <w:pStyle w:val="Footer"/>
    </w:pPr>
    <w:r>
      <w:t xml:space="preserve">Principal Investigator: _____________________________________     IBC </w:t>
    </w:r>
    <w:r w:rsidR="00447103">
      <w:t>Registration</w:t>
    </w:r>
    <w:r>
      <w:t xml:space="preserve"> #: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AA1A" w14:textId="77777777" w:rsidR="00FE391E" w:rsidRDefault="00FE391E" w:rsidP="00F15A99">
      <w:r>
        <w:separator/>
      </w:r>
    </w:p>
  </w:footnote>
  <w:footnote w:type="continuationSeparator" w:id="0">
    <w:p w14:paraId="43062B47" w14:textId="77777777" w:rsidR="00FE391E" w:rsidRDefault="00FE391E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66F1CC62" w:rsidR="0088621B" w:rsidRDefault="00E10A42" w:rsidP="00C13ABF">
    <w:pPr>
      <w:jc w:val="center"/>
    </w:pPr>
    <w:r>
      <w:t>Poliovirus – vaccine strain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D525F"/>
    <w:rsid w:val="00105D81"/>
    <w:rsid w:val="001106C3"/>
    <w:rsid w:val="001137DE"/>
    <w:rsid w:val="00114749"/>
    <w:rsid w:val="0011612B"/>
    <w:rsid w:val="00145467"/>
    <w:rsid w:val="001629D9"/>
    <w:rsid w:val="00182E75"/>
    <w:rsid w:val="001C3B8D"/>
    <w:rsid w:val="001D427C"/>
    <w:rsid w:val="00266376"/>
    <w:rsid w:val="002920ED"/>
    <w:rsid w:val="003045DC"/>
    <w:rsid w:val="00304CD8"/>
    <w:rsid w:val="003237DD"/>
    <w:rsid w:val="0033677C"/>
    <w:rsid w:val="0036122E"/>
    <w:rsid w:val="00362520"/>
    <w:rsid w:val="00371EBB"/>
    <w:rsid w:val="003A2BF4"/>
    <w:rsid w:val="00421DD1"/>
    <w:rsid w:val="0043708E"/>
    <w:rsid w:val="00447103"/>
    <w:rsid w:val="00481C1B"/>
    <w:rsid w:val="00487C23"/>
    <w:rsid w:val="00494CB7"/>
    <w:rsid w:val="004A5500"/>
    <w:rsid w:val="004A786C"/>
    <w:rsid w:val="004D0C5D"/>
    <w:rsid w:val="004E49AA"/>
    <w:rsid w:val="004F4CD9"/>
    <w:rsid w:val="0050120A"/>
    <w:rsid w:val="00507037"/>
    <w:rsid w:val="00516FE6"/>
    <w:rsid w:val="005733C9"/>
    <w:rsid w:val="00594D7A"/>
    <w:rsid w:val="005A175C"/>
    <w:rsid w:val="005A7343"/>
    <w:rsid w:val="005D69B7"/>
    <w:rsid w:val="006032FB"/>
    <w:rsid w:val="00612258"/>
    <w:rsid w:val="0067161A"/>
    <w:rsid w:val="006779A8"/>
    <w:rsid w:val="00680AC1"/>
    <w:rsid w:val="007475C2"/>
    <w:rsid w:val="00757E06"/>
    <w:rsid w:val="007744F5"/>
    <w:rsid w:val="00775188"/>
    <w:rsid w:val="007E03EE"/>
    <w:rsid w:val="00822C8B"/>
    <w:rsid w:val="00826ADC"/>
    <w:rsid w:val="008430F7"/>
    <w:rsid w:val="008603B3"/>
    <w:rsid w:val="008643D3"/>
    <w:rsid w:val="0088621B"/>
    <w:rsid w:val="008A0AA4"/>
    <w:rsid w:val="00905FE9"/>
    <w:rsid w:val="0091239C"/>
    <w:rsid w:val="00914B88"/>
    <w:rsid w:val="00923D90"/>
    <w:rsid w:val="00944754"/>
    <w:rsid w:val="00972C62"/>
    <w:rsid w:val="00983E97"/>
    <w:rsid w:val="0098772A"/>
    <w:rsid w:val="009C2576"/>
    <w:rsid w:val="009E6568"/>
    <w:rsid w:val="009F46B5"/>
    <w:rsid w:val="00A73038"/>
    <w:rsid w:val="00AE6570"/>
    <w:rsid w:val="00B041F0"/>
    <w:rsid w:val="00B1093C"/>
    <w:rsid w:val="00B11E2C"/>
    <w:rsid w:val="00B50B7F"/>
    <w:rsid w:val="00BA0065"/>
    <w:rsid w:val="00BE083D"/>
    <w:rsid w:val="00BF26A0"/>
    <w:rsid w:val="00C13ABF"/>
    <w:rsid w:val="00C678AA"/>
    <w:rsid w:val="00C7207A"/>
    <w:rsid w:val="00CD543C"/>
    <w:rsid w:val="00CE3CBB"/>
    <w:rsid w:val="00CF1EE4"/>
    <w:rsid w:val="00CF7B97"/>
    <w:rsid w:val="00D04FF9"/>
    <w:rsid w:val="00D34367"/>
    <w:rsid w:val="00D67EC6"/>
    <w:rsid w:val="00DC0F42"/>
    <w:rsid w:val="00DF74DC"/>
    <w:rsid w:val="00E10A42"/>
    <w:rsid w:val="00E2582F"/>
    <w:rsid w:val="00E37F21"/>
    <w:rsid w:val="00E545CA"/>
    <w:rsid w:val="00E62D04"/>
    <w:rsid w:val="00F04586"/>
    <w:rsid w:val="00F15A99"/>
    <w:rsid w:val="00F441A2"/>
    <w:rsid w:val="00F608AC"/>
    <w:rsid w:val="00FA702B"/>
    <w:rsid w:val="00FB4CD0"/>
    <w:rsid w:val="00FB64F1"/>
    <w:rsid w:val="00FC4DA2"/>
    <w:rsid w:val="00FD4D3D"/>
    <w:rsid w:val="00FD52B8"/>
    <w:rsid w:val="00FD5779"/>
    <w:rsid w:val="00FD65A0"/>
    <w:rsid w:val="00FE2656"/>
    <w:rsid w:val="00FE391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customStyle="1" w:styleId="f-medium">
    <w:name w:val="f-medium"/>
    <w:basedOn w:val="DefaultParagraphFont"/>
    <w:rsid w:val="00983E97"/>
  </w:style>
  <w:style w:type="character" w:customStyle="1" w:styleId="breakword">
    <w:name w:val="breakword"/>
    <w:basedOn w:val="DefaultParagraphFont"/>
    <w:rsid w:val="00983E97"/>
  </w:style>
  <w:style w:type="character" w:styleId="FollowedHyperlink">
    <w:name w:val="FollowedHyperlink"/>
    <w:basedOn w:val="DefaultParagraphFont"/>
    <w:uiPriority w:val="99"/>
    <w:semiHidden/>
    <w:unhideWhenUsed/>
    <w:rsid w:val="00421D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A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vaccines/pubs/pinkbook/polio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nc.cdc.gov/travel/yellowbook/2020/travel-related-infectious-diseases/poliomyelit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oeradication.org/wp-content/uploads/2017/05/Polio_Lab_Manual0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s://www.cdc.gov/biosafety/publications/bmbl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40</cp:revision>
  <cp:lastPrinted>2017-06-13T17:58:00Z</cp:lastPrinted>
  <dcterms:created xsi:type="dcterms:W3CDTF">2017-06-13T12:51:00Z</dcterms:created>
  <dcterms:modified xsi:type="dcterms:W3CDTF">2019-10-09T19:31:00Z</dcterms:modified>
</cp:coreProperties>
</file>