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49E36B55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The BARD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323597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42EA04AF" w:rsidR="00923D90" w:rsidRPr="00323597" w:rsidRDefault="00923D90" w:rsidP="00323597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323597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1FDAA9DF" w:rsidR="001D427C" w:rsidRPr="00516FE6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516FE6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516FE6">
        <w:rPr>
          <w:rFonts w:cstheme="minorHAnsi"/>
          <w:b/>
        </w:rPr>
        <w:t>any changes that you make.</w:t>
      </w:r>
    </w:p>
    <w:p w14:paraId="77129587" w14:textId="66FA2296" w:rsidR="00DC0F42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09DD50F9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>IBC</w:t>
      </w:r>
      <w:r w:rsidR="00323597">
        <w:rPr>
          <w:rFonts w:cstheme="minorHAnsi"/>
          <w:b/>
        </w:rPr>
        <w:t xml:space="preserve"> master protocol 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110201A7" w:rsidR="00C13ABF" w:rsidRPr="003237DD" w:rsidRDefault="003237DD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83E97">
              <w:rPr>
                <w:sz w:val="20"/>
                <w:szCs w:val="20"/>
              </w:rPr>
              <w:t>oxin produced by the bacteri</w:t>
            </w:r>
            <w:r w:rsidR="00757E06">
              <w:rPr>
                <w:sz w:val="20"/>
                <w:szCs w:val="20"/>
              </w:rPr>
              <w:t>a</w:t>
            </w:r>
            <w:r w:rsidR="00983E97">
              <w:rPr>
                <w:sz w:val="20"/>
                <w:szCs w:val="20"/>
              </w:rPr>
              <w:t xml:space="preserve"> </w:t>
            </w:r>
            <w:r w:rsidR="00983E97" w:rsidRPr="0036122E">
              <w:rPr>
                <w:i/>
                <w:sz w:val="20"/>
                <w:szCs w:val="20"/>
              </w:rPr>
              <w:t>Bordetella pertussis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237DD">
              <w:rPr>
                <w:sz w:val="20"/>
                <w:szCs w:val="20"/>
              </w:rPr>
              <w:t>(causative</w:t>
            </w:r>
            <w:r>
              <w:rPr>
                <w:sz w:val="20"/>
                <w:szCs w:val="20"/>
              </w:rPr>
              <w:t xml:space="preserve"> agent of whooping cough)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69C5CC10" w:rsidR="00D34367" w:rsidRDefault="00D3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local damage to the cilia of epithelial cells</w:t>
            </w:r>
            <w:r w:rsidR="00757E06">
              <w:rPr>
                <w:sz w:val="20"/>
                <w:szCs w:val="20"/>
              </w:rPr>
              <w:t>, easily absorbed through the skin.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6F702FEC" w:rsidR="00C13ABF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5ADE6CEB" w:rsidR="00C13ABF" w:rsidRDefault="005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Inhalation, mucous membrane contact, sharps injury, ingestion</w:t>
            </w:r>
            <w:r w:rsidR="00757E06">
              <w:rPr>
                <w:sz w:val="20"/>
                <w:szCs w:val="20"/>
              </w:rPr>
              <w:t>, dermal contact.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238F22F2" w14:textId="7565E446" w:rsidR="00D34367" w:rsidRDefault="00FE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Inflammation </w:t>
            </w:r>
            <w:r w:rsidR="00D34367">
              <w:rPr>
                <w:sz w:val="20"/>
                <w:szCs w:val="20"/>
              </w:rPr>
              <w:t xml:space="preserve">and irritation </w:t>
            </w:r>
            <w:r>
              <w:rPr>
                <w:sz w:val="20"/>
                <w:szCs w:val="20"/>
              </w:rPr>
              <w:t>at site of contact</w:t>
            </w:r>
            <w:r w:rsidR="00182E75">
              <w:rPr>
                <w:sz w:val="20"/>
                <w:szCs w:val="20"/>
              </w:rPr>
              <w:t>, possible elevated white blood cell count.</w:t>
            </w:r>
          </w:p>
          <w:p w14:paraId="47685B17" w14:textId="4C0DDB86" w:rsidR="00C13ABF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inhaled: runny nose, sneezing, low-grade fever, and cough.</w:t>
            </w:r>
            <w:r w:rsidR="00D34367">
              <w:rPr>
                <w:sz w:val="20"/>
                <w:szCs w:val="20"/>
              </w:rPr>
              <w:t xml:space="preserve"> </w:t>
            </w:r>
            <w:r w:rsidR="00182E75">
              <w:rPr>
                <w:sz w:val="20"/>
                <w:szCs w:val="20"/>
              </w:rPr>
              <w:t xml:space="preserve">If ingested: vomiting, diarrhea, dehydration. 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230F4B12" w:rsidR="00F04586" w:rsidRPr="00D67EC6" w:rsidRDefault="00983E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Toxic </w:t>
            </w:r>
            <w:r w:rsidR="00D67EC6" w:rsidRPr="00D67EC6">
              <w:rPr>
                <w:b/>
                <w:i/>
                <w:sz w:val="20"/>
                <w:szCs w:val="20"/>
              </w:rPr>
              <w:t xml:space="preserve"> Dose</w:t>
            </w:r>
          </w:p>
        </w:tc>
        <w:tc>
          <w:tcPr>
            <w:tcW w:w="4230" w:type="dxa"/>
          </w:tcPr>
          <w:p w14:paraId="4A533FA3" w14:textId="36D87F61" w:rsidR="00F04586" w:rsidRPr="00F441A2" w:rsidRDefault="0050120A">
            <w:pPr>
              <w:rPr>
                <w:sz w:val="20"/>
                <w:szCs w:val="20"/>
              </w:rPr>
            </w:pPr>
            <w:r w:rsidRPr="00F441A2">
              <w:rPr>
                <w:sz w:val="20"/>
                <w:szCs w:val="20"/>
              </w:rPr>
              <w:t>1</w:t>
            </w:r>
            <w:r w:rsidR="0036122E" w:rsidRPr="00F441A2">
              <w:rPr>
                <w:sz w:val="20"/>
                <w:szCs w:val="20"/>
              </w:rPr>
              <w:t xml:space="preserve">7 </w:t>
            </w:r>
            <w:r w:rsidRPr="00F441A2">
              <w:rPr>
                <w:sz w:val="20"/>
                <w:szCs w:val="20"/>
              </w:rPr>
              <w:t>ug/kg i</w:t>
            </w:r>
            <w:r w:rsidR="0036122E" w:rsidRPr="00F441A2">
              <w:rPr>
                <w:sz w:val="20"/>
                <w:szCs w:val="20"/>
              </w:rPr>
              <w:t>ntraperitoneal</w:t>
            </w:r>
            <w:r w:rsidRPr="00F441A2">
              <w:rPr>
                <w:sz w:val="20"/>
                <w:szCs w:val="20"/>
              </w:rPr>
              <w:t xml:space="preserve"> for mice, unknown for humans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5DEF9B59" w:rsidR="00F04586" w:rsidRDefault="00757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82E75">
              <w:rPr>
                <w:sz w:val="20"/>
                <w:szCs w:val="20"/>
              </w:rPr>
              <w:t>nknown</w:t>
            </w:r>
            <w:r>
              <w:rPr>
                <w:sz w:val="20"/>
                <w:szCs w:val="20"/>
              </w:rPr>
              <w:t xml:space="preserve"> for toxin. 7 – 10 days for bacteria.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4BFF49E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  <w:r w:rsidR="00D34367">
              <w:rPr>
                <w:sz w:val="20"/>
                <w:szCs w:val="20"/>
              </w:rPr>
              <w:t xml:space="preserve"> for toxin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3D22A6CC" w:rsidR="00D67EC6" w:rsidRDefault="005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Tdap vaccine </w:t>
            </w:r>
            <w:r w:rsidR="003237D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recommended every 10 years</w:t>
            </w:r>
            <w:r w:rsidR="003237DD">
              <w:rPr>
                <w:sz w:val="20"/>
                <w:szCs w:val="20"/>
              </w:rPr>
              <w:t>)</w:t>
            </w:r>
            <w:r w:rsidR="00D34367">
              <w:rPr>
                <w:sz w:val="20"/>
                <w:szCs w:val="20"/>
              </w:rPr>
              <w:t xml:space="preserve"> 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50DCADC7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treatment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553029CE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101EF98B" w14:textId="0309BDC7" w:rsidR="00D67EC6" w:rsidRDefault="00182E75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209BF420" w14:textId="56BF9E0B" w:rsidR="00C13ABF" w:rsidRDefault="00C13ABF" w:rsidP="00D67EC6">
            <w:pPr>
              <w:rPr>
                <w:sz w:val="20"/>
                <w:szCs w:val="20"/>
              </w:rPr>
            </w:pP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5C3117FE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Laboratory </w:t>
            </w:r>
            <w:r w:rsidR="00983E97">
              <w:rPr>
                <w:b/>
                <w:i/>
                <w:sz w:val="20"/>
                <w:szCs w:val="20"/>
              </w:rPr>
              <w:t>Exposures</w:t>
            </w:r>
          </w:p>
        </w:tc>
        <w:tc>
          <w:tcPr>
            <w:tcW w:w="4320" w:type="dxa"/>
          </w:tcPr>
          <w:p w14:paraId="094F518B" w14:textId="135E1949" w:rsidR="00C13ABF" w:rsidRDefault="00FE2656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  <w:r w:rsidR="00D34367">
              <w:rPr>
                <w:sz w:val="20"/>
                <w:szCs w:val="20"/>
              </w:rPr>
              <w:t>. 8 cases reported of laboratory-acquired B. pertussis infection.</w:t>
            </w: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724FE5DA" w:rsidR="00C13ABF" w:rsidRDefault="003237DD" w:rsidP="00C13ABF">
            <w:pPr>
              <w:rPr>
                <w:sz w:val="20"/>
                <w:szCs w:val="20"/>
              </w:rPr>
            </w:pPr>
            <w:r w:rsidRPr="003237DD">
              <w:rPr>
                <w:i/>
                <w:sz w:val="20"/>
                <w:szCs w:val="20"/>
              </w:rPr>
              <w:t>Bordetella pertussis</w:t>
            </w:r>
            <w:r>
              <w:rPr>
                <w:sz w:val="20"/>
                <w:szCs w:val="20"/>
              </w:rPr>
              <w:t>, or synthetic toxin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77D3978A" w14:textId="59A718CB" w:rsidR="00C13ABF" w:rsidRDefault="00C13ABF">
      <w:pPr>
        <w:rPr>
          <w:sz w:val="20"/>
          <w:szCs w:val="20"/>
        </w:rPr>
      </w:pPr>
    </w:p>
    <w:p w14:paraId="7A6EF9E9" w14:textId="77777777" w:rsidR="00182E75" w:rsidRDefault="00182E75">
      <w:pPr>
        <w:rPr>
          <w:sz w:val="20"/>
          <w:szCs w:val="20"/>
        </w:rPr>
      </w:pPr>
    </w:p>
    <w:p w14:paraId="25386428" w14:textId="77777777" w:rsidR="003237DD" w:rsidRDefault="003237DD">
      <w:pPr>
        <w:rPr>
          <w:sz w:val="20"/>
          <w:szCs w:val="20"/>
        </w:rPr>
      </w:pPr>
    </w:p>
    <w:p w14:paraId="642B4984" w14:textId="3DEB6B21" w:rsidR="005733C9" w:rsidRDefault="005733C9">
      <w:pPr>
        <w:rPr>
          <w:sz w:val="20"/>
          <w:szCs w:val="20"/>
        </w:rPr>
      </w:pPr>
    </w:p>
    <w:p w14:paraId="0B79B2EC" w14:textId="56D1CAB8" w:rsidR="00D34367" w:rsidRDefault="00D34367">
      <w:pPr>
        <w:rPr>
          <w:sz w:val="20"/>
          <w:szCs w:val="20"/>
        </w:rPr>
      </w:pPr>
    </w:p>
    <w:p w14:paraId="495ADD85" w14:textId="77777777" w:rsidR="00D34367" w:rsidRDefault="00D34367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28EAE36D" w14:textId="77777777" w:rsidR="00C13ABF" w:rsidRDefault="00C13ABF">
      <w:pPr>
        <w:rPr>
          <w:sz w:val="20"/>
          <w:szCs w:val="20"/>
        </w:rPr>
      </w:pPr>
    </w:p>
    <w:p w14:paraId="56239521" w14:textId="7B0EE417" w:rsidR="00C13ABF" w:rsidRDefault="00C13ABF">
      <w:pPr>
        <w:rPr>
          <w:sz w:val="20"/>
          <w:szCs w:val="20"/>
        </w:rPr>
      </w:pPr>
    </w:p>
    <w:p w14:paraId="055135DA" w14:textId="178BAA77" w:rsidR="00983E97" w:rsidRDefault="00983E97">
      <w:pPr>
        <w:rPr>
          <w:sz w:val="20"/>
          <w:szCs w:val="20"/>
        </w:rPr>
      </w:pPr>
    </w:p>
    <w:p w14:paraId="64174888" w14:textId="6C46772C" w:rsidR="00983E97" w:rsidRDefault="00983E97">
      <w:pPr>
        <w:rPr>
          <w:sz w:val="20"/>
          <w:szCs w:val="20"/>
        </w:rPr>
      </w:pPr>
    </w:p>
    <w:p w14:paraId="6656D728" w14:textId="77777777" w:rsidR="00983E97" w:rsidRDefault="00983E97">
      <w:pPr>
        <w:rPr>
          <w:sz w:val="20"/>
          <w:szCs w:val="20"/>
        </w:rPr>
      </w:pPr>
    </w:p>
    <w:p w14:paraId="30BCB2DA" w14:textId="63A6D5DA" w:rsidR="00680AC1" w:rsidRDefault="00680AC1">
      <w:pPr>
        <w:rPr>
          <w:sz w:val="20"/>
          <w:szCs w:val="20"/>
        </w:rPr>
      </w:pPr>
    </w:p>
    <w:p w14:paraId="12670A01" w14:textId="15F77ADE" w:rsidR="00FE2656" w:rsidRDefault="00FE2656">
      <w:pPr>
        <w:rPr>
          <w:sz w:val="20"/>
          <w:szCs w:val="20"/>
        </w:rPr>
      </w:pPr>
    </w:p>
    <w:p w14:paraId="52315A75" w14:textId="4A68231A" w:rsidR="00FE2656" w:rsidRDefault="00FE2656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983E97" w:rsidRDefault="00680AC1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83E97">
              <w:rPr>
                <w:b/>
                <w:i/>
                <w:color w:val="000000" w:themeColor="text1"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4A5C6B1A" w14:textId="780BAFD1" w:rsidR="00983E97" w:rsidRPr="00983E97" w:rsidRDefault="00983E97" w:rsidP="00983E9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83E97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Preparation</w:t>
            </w:r>
            <w:r w:rsidR="003237DD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or </w:t>
            </w:r>
            <w:r w:rsidRPr="00983E97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dilution of the agent, work with clinical specimens and cultures known or suspected to contain the agent</w:t>
            </w:r>
          </w:p>
          <w:p w14:paraId="5929C5C5" w14:textId="0BFB7FA4" w:rsidR="005733C9" w:rsidRPr="00983E97" w:rsidRDefault="005733C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2A35CA6D" w:rsidR="005733C9" w:rsidRDefault="00983E97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of the agent to an animal model</w:t>
            </w:r>
            <w:r w:rsidR="003237DD">
              <w:rPr>
                <w:sz w:val="20"/>
                <w:szCs w:val="20"/>
              </w:rPr>
              <w:t xml:space="preserve">. Animals </w:t>
            </w:r>
            <w:r>
              <w:rPr>
                <w:sz w:val="20"/>
                <w:szCs w:val="20"/>
              </w:rPr>
              <w:t>may be housed at ABSL-1 post-exposure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3E071C5B" w:rsidR="004F4CD9" w:rsidRDefault="0098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Centrifugation, homogenizing, </w:t>
            </w:r>
            <w:proofErr w:type="spellStart"/>
            <w:r>
              <w:rPr>
                <w:sz w:val="20"/>
                <w:szCs w:val="20"/>
              </w:rPr>
              <w:t>vortexing</w:t>
            </w:r>
            <w:proofErr w:type="spellEnd"/>
            <w:r>
              <w:rPr>
                <w:sz w:val="20"/>
                <w:szCs w:val="20"/>
              </w:rPr>
              <w:t xml:space="preserve"> or stirring, pipetting, pouring liquids, filling or expelling syringes</w:t>
            </w:r>
          </w:p>
        </w:tc>
      </w:tr>
      <w:tr w:rsidR="00983E97" w14:paraId="41CE5316" w14:textId="77777777" w:rsidTr="00C13ABF">
        <w:tc>
          <w:tcPr>
            <w:tcW w:w="1530" w:type="dxa"/>
          </w:tcPr>
          <w:p w14:paraId="6F5334EB" w14:textId="32287C5F" w:rsidR="00983E97" w:rsidRPr="00E37F21" w:rsidRDefault="00983E97" w:rsidP="00983E97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</w:t>
            </w:r>
          </w:p>
        </w:tc>
        <w:tc>
          <w:tcPr>
            <w:tcW w:w="4250" w:type="dxa"/>
          </w:tcPr>
          <w:p w14:paraId="662202B2" w14:textId="05274A87" w:rsidR="00983E97" w:rsidRDefault="00983E97" w:rsidP="0098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chemical fume hood, </w:t>
            </w:r>
            <w:r w:rsidR="00757E06">
              <w:rPr>
                <w:sz w:val="20"/>
                <w:szCs w:val="20"/>
              </w:rPr>
              <w:t>biosafety cabinet</w:t>
            </w:r>
            <w:r>
              <w:rPr>
                <w:sz w:val="20"/>
                <w:szCs w:val="20"/>
              </w:rPr>
              <w:t>, or glove box for preparing stocks and dilutions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7EBB3443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B36073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6A64FDD0" w:rsidR="009E6568" w:rsidRDefault="0051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gloves, lab coat or gown, appropriate eye/face protection.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3EFCCC67" w:rsidR="00F608AC" w:rsidRDefault="00983E97" w:rsidP="00FE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 in a secure location</w:t>
            </w:r>
          </w:p>
        </w:tc>
      </w:tr>
    </w:tbl>
    <w:p w14:paraId="12C9E9B3" w14:textId="0977F57C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115B34" w14:textId="77777777" w:rsidR="00757E06" w:rsidRDefault="00757E0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301F2C2B" w:rsidR="00E37F21" w:rsidRDefault="0050120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bleach with a contact time of 30 minutes. 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5121EFAA" w:rsidR="00E37F21" w:rsidRPr="0036122E" w:rsidRDefault="0050120A" w:rsidP="00C13ABF">
            <w:r>
              <w:rPr>
                <w:sz w:val="20"/>
                <w:szCs w:val="20"/>
              </w:rPr>
              <w:t xml:space="preserve">Autoclaving at </w:t>
            </w:r>
            <w:r w:rsidRPr="00481C1B">
              <w:rPr>
                <w:rFonts w:cstheme="minorHAnsi"/>
                <w:sz w:val="20"/>
                <w:szCs w:val="20"/>
              </w:rPr>
              <w:t>121</w:t>
            </w:r>
            <w:r w:rsidR="00481C1B" w:rsidRPr="00481C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°C for 15 </w:t>
            </w:r>
            <w:r w:rsidR="00481C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481C1B" w:rsidRPr="00481C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30 min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7B3591A9" w:rsidR="00E37F21" w:rsidRPr="00E37F21" w:rsidRDefault="003612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Stability in Environment</w:t>
            </w:r>
          </w:p>
        </w:tc>
        <w:tc>
          <w:tcPr>
            <w:tcW w:w="4393" w:type="dxa"/>
          </w:tcPr>
          <w:p w14:paraId="34F93AD8" w14:textId="64CCE623" w:rsidR="00E37F21" w:rsidRDefault="003237DD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 at normal room temperature and pressure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2C031240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516FE6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</w:t>
            </w:r>
            <w:proofErr w:type="spellStart"/>
            <w:r>
              <w:rPr>
                <w:sz w:val="20"/>
                <w:szCs w:val="20"/>
              </w:rPr>
              <w:t>biobox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736C5BBC" w14:textId="77777777" w:rsidR="006032FB" w:rsidRDefault="006032FB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LaBossiere</w:t>
      </w:r>
      <w:proofErr w:type="spellEnd"/>
      <w:r>
        <w:rPr>
          <w:sz w:val="20"/>
          <w:szCs w:val="20"/>
        </w:rPr>
        <w:t>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77777777" w:rsidR="006032FB" w:rsidRDefault="006032FB">
      <w:pPr>
        <w:rPr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A080368" w14:textId="77777777" w:rsidR="001106C3" w:rsidRDefault="001106C3">
      <w:pPr>
        <w:rPr>
          <w:sz w:val="20"/>
          <w:szCs w:val="20"/>
        </w:rPr>
      </w:pPr>
    </w:p>
    <w:p w14:paraId="28C1420E" w14:textId="77777777" w:rsidR="001106C3" w:rsidRDefault="001106C3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7C789F17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6A50C0F2" w14:textId="1EE097F7" w:rsidR="0098772A" w:rsidRPr="00481C1B" w:rsidRDefault="005A2804">
            <w:hyperlink r:id="rId11" w:history="1">
              <w:r w:rsidR="00481C1B">
                <w:rPr>
                  <w:rStyle w:val="Hyperlink"/>
                </w:rPr>
                <w:t>https://www.canada.ca/en/public-health/services/laboratory-biosafety-biosecurity/pathogen-safety-data-sheets-risk-assessment/bordetella-pertussis.html</w:t>
              </w:r>
            </w:hyperlink>
          </w:p>
        </w:tc>
      </w:tr>
      <w:tr w:rsidR="0091239C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38DCD25D" w:rsidR="0098772A" w:rsidRDefault="005A2804">
            <w:pPr>
              <w:rPr>
                <w:sz w:val="20"/>
                <w:szCs w:val="20"/>
              </w:rPr>
            </w:pPr>
            <w:hyperlink r:id="rId12" w:history="1">
              <w:r w:rsidR="0098772A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1239C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510C4049" w:rsidR="00266376" w:rsidRDefault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  <w:r w:rsidR="00266376">
              <w:rPr>
                <w:sz w:val="20"/>
                <w:szCs w:val="20"/>
              </w:rPr>
              <w:t xml:space="preserve">Guidelines </w:t>
            </w:r>
          </w:p>
        </w:tc>
        <w:tc>
          <w:tcPr>
            <w:tcW w:w="4160" w:type="dxa"/>
          </w:tcPr>
          <w:p w14:paraId="278BC787" w14:textId="77777777" w:rsidR="003237DD" w:rsidRDefault="005A2804" w:rsidP="003237DD">
            <w:hyperlink r:id="rId13" w:history="1">
              <w:r w:rsidR="003237DD">
                <w:rPr>
                  <w:rStyle w:val="Hyperlink"/>
                </w:rPr>
                <w:t>https://www.cdc.gov/vaccines/pubs/pinkbook/downloads/pert.pdf</w:t>
              </w:r>
            </w:hyperlink>
          </w:p>
          <w:p w14:paraId="2BF355E8" w14:textId="79F14705" w:rsidR="0098772A" w:rsidRDefault="0098772A">
            <w:pPr>
              <w:rPr>
                <w:sz w:val="20"/>
                <w:szCs w:val="20"/>
              </w:rPr>
            </w:pPr>
          </w:p>
        </w:tc>
      </w:tr>
      <w:tr w:rsidR="0091239C" w14:paraId="02218B8B" w14:textId="77777777" w:rsidTr="0091239C">
        <w:trPr>
          <w:trHeight w:val="1252"/>
        </w:trPr>
        <w:tc>
          <w:tcPr>
            <w:tcW w:w="1345" w:type="dxa"/>
          </w:tcPr>
          <w:p w14:paraId="1E89C67B" w14:textId="3E7B9D1F" w:rsidR="00266376" w:rsidRDefault="0026637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26901FD2" w14:textId="2AA674C5" w:rsidR="0098772A" w:rsidRDefault="00D34367">
            <w:pPr>
              <w:rPr>
                <w:sz w:val="20"/>
                <w:szCs w:val="20"/>
              </w:rPr>
            </w:pPr>
            <w:r w:rsidRPr="00D34367">
              <w:rPr>
                <w:sz w:val="20"/>
                <w:szCs w:val="20"/>
              </w:rPr>
              <w:t>(Add manufacturer</w:t>
            </w:r>
            <w:r>
              <w:rPr>
                <w:sz w:val="20"/>
                <w:szCs w:val="20"/>
              </w:rPr>
              <w:t>’s</w:t>
            </w:r>
            <w:r w:rsidRPr="00D34367">
              <w:rPr>
                <w:sz w:val="20"/>
                <w:szCs w:val="20"/>
              </w:rPr>
              <w:t xml:space="preserve"> safety data sheet here)</w:t>
            </w:r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66E4CCD4" w:rsidR="00C13ABF" w:rsidRDefault="00C13ABF">
      <w:pPr>
        <w:rPr>
          <w:sz w:val="20"/>
          <w:szCs w:val="20"/>
        </w:rPr>
      </w:pPr>
    </w:p>
    <w:p w14:paraId="7292D347" w14:textId="77777777" w:rsidR="00757E06" w:rsidRDefault="00757E06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632CFCAC" w14:textId="77777777" w:rsidR="006032FB" w:rsidRDefault="006032FB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CC45" w14:textId="77777777" w:rsidR="005A2804" w:rsidRDefault="005A2804" w:rsidP="00F15A99">
      <w:r>
        <w:separator/>
      </w:r>
    </w:p>
  </w:endnote>
  <w:endnote w:type="continuationSeparator" w:id="0">
    <w:p w14:paraId="2E664BC3" w14:textId="77777777" w:rsidR="005A2804" w:rsidRDefault="005A2804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F35" w14:textId="547B36D5" w:rsidR="001106C3" w:rsidRDefault="001106C3">
    <w:pPr>
      <w:pStyle w:val="Footer"/>
    </w:pPr>
    <w:r>
      <w:t xml:space="preserve">Principal Investigator: ___________________________________     IBC </w:t>
    </w:r>
    <w:r w:rsidR="00FF2C77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DA0D" w14:textId="77777777" w:rsidR="005A2804" w:rsidRDefault="005A2804" w:rsidP="00F15A99">
      <w:r>
        <w:separator/>
      </w:r>
    </w:p>
  </w:footnote>
  <w:footnote w:type="continuationSeparator" w:id="0">
    <w:p w14:paraId="74E8C6F0" w14:textId="77777777" w:rsidR="005A2804" w:rsidRDefault="005A2804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0B420CEA" w:rsidR="0088621B" w:rsidRDefault="00983E97" w:rsidP="00C13ABF">
    <w:pPr>
      <w:jc w:val="center"/>
    </w:pPr>
    <w:r>
      <w:t>Pertussis Toxin (PT)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105D81"/>
    <w:rsid w:val="001106C3"/>
    <w:rsid w:val="001137DE"/>
    <w:rsid w:val="00114749"/>
    <w:rsid w:val="0011612B"/>
    <w:rsid w:val="00182E75"/>
    <w:rsid w:val="001C3B8D"/>
    <w:rsid w:val="001D427C"/>
    <w:rsid w:val="00266376"/>
    <w:rsid w:val="002920ED"/>
    <w:rsid w:val="00304CD8"/>
    <w:rsid w:val="00323597"/>
    <w:rsid w:val="003237DD"/>
    <w:rsid w:val="0036122E"/>
    <w:rsid w:val="00371EBB"/>
    <w:rsid w:val="00481C1B"/>
    <w:rsid w:val="00487C23"/>
    <w:rsid w:val="00494CB7"/>
    <w:rsid w:val="004A5500"/>
    <w:rsid w:val="004A786C"/>
    <w:rsid w:val="004D0C5D"/>
    <w:rsid w:val="004E49AA"/>
    <w:rsid w:val="004F4CD9"/>
    <w:rsid w:val="0050120A"/>
    <w:rsid w:val="00516FE6"/>
    <w:rsid w:val="005733C9"/>
    <w:rsid w:val="00594D7A"/>
    <w:rsid w:val="005A175C"/>
    <w:rsid w:val="005A2804"/>
    <w:rsid w:val="005A7343"/>
    <w:rsid w:val="006032FB"/>
    <w:rsid w:val="006779A8"/>
    <w:rsid w:val="00680AC1"/>
    <w:rsid w:val="00734783"/>
    <w:rsid w:val="007475C2"/>
    <w:rsid w:val="00757E06"/>
    <w:rsid w:val="007744F5"/>
    <w:rsid w:val="00775188"/>
    <w:rsid w:val="007E03EE"/>
    <w:rsid w:val="00822C8B"/>
    <w:rsid w:val="00826ADC"/>
    <w:rsid w:val="008430F7"/>
    <w:rsid w:val="008603B3"/>
    <w:rsid w:val="008643D3"/>
    <w:rsid w:val="0088621B"/>
    <w:rsid w:val="008A0AA4"/>
    <w:rsid w:val="0091239C"/>
    <w:rsid w:val="00914B88"/>
    <w:rsid w:val="00923D90"/>
    <w:rsid w:val="00972C62"/>
    <w:rsid w:val="00983E97"/>
    <w:rsid w:val="0098772A"/>
    <w:rsid w:val="009C2576"/>
    <w:rsid w:val="009E6568"/>
    <w:rsid w:val="009F46B5"/>
    <w:rsid w:val="00A73038"/>
    <w:rsid w:val="00AE6570"/>
    <w:rsid w:val="00B041F0"/>
    <w:rsid w:val="00B1093C"/>
    <w:rsid w:val="00B11E2C"/>
    <w:rsid w:val="00B36073"/>
    <w:rsid w:val="00B50B7F"/>
    <w:rsid w:val="00BA0065"/>
    <w:rsid w:val="00C13ABF"/>
    <w:rsid w:val="00C678AA"/>
    <w:rsid w:val="00CD543C"/>
    <w:rsid w:val="00CE3CBB"/>
    <w:rsid w:val="00CF7B97"/>
    <w:rsid w:val="00D04FF9"/>
    <w:rsid w:val="00D34367"/>
    <w:rsid w:val="00D67EC6"/>
    <w:rsid w:val="00D9106B"/>
    <w:rsid w:val="00DC0F42"/>
    <w:rsid w:val="00DF74DC"/>
    <w:rsid w:val="00E37F21"/>
    <w:rsid w:val="00E62D04"/>
    <w:rsid w:val="00F04586"/>
    <w:rsid w:val="00F15A99"/>
    <w:rsid w:val="00F441A2"/>
    <w:rsid w:val="00F608AC"/>
    <w:rsid w:val="00FB64F1"/>
    <w:rsid w:val="00FC4DA2"/>
    <w:rsid w:val="00FD52B8"/>
    <w:rsid w:val="00FE2656"/>
    <w:rsid w:val="00FE7B80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customStyle="1" w:styleId="f-medium">
    <w:name w:val="f-medium"/>
    <w:basedOn w:val="DefaultParagraphFont"/>
    <w:rsid w:val="00983E97"/>
  </w:style>
  <w:style w:type="character" w:customStyle="1" w:styleId="breakword">
    <w:name w:val="breakword"/>
    <w:basedOn w:val="DefaultParagraphFont"/>
    <w:rsid w:val="00983E97"/>
  </w:style>
  <w:style w:type="character" w:styleId="CommentReference">
    <w:name w:val="annotation reference"/>
    <w:basedOn w:val="DefaultParagraphFont"/>
    <w:uiPriority w:val="99"/>
    <w:semiHidden/>
    <w:unhideWhenUsed/>
    <w:rsid w:val="00FF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vaccines/pubs/pinkbook/downloads/per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bordetella-pertussi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4</cp:revision>
  <cp:lastPrinted>2017-06-13T17:58:00Z</cp:lastPrinted>
  <dcterms:created xsi:type="dcterms:W3CDTF">2019-08-12T19:41:00Z</dcterms:created>
  <dcterms:modified xsi:type="dcterms:W3CDTF">2019-10-09T19:31:00Z</dcterms:modified>
</cp:coreProperties>
</file>