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77777777" w:rsidR="00F15A99" w:rsidRDefault="00F15A99"/>
    <w:p w14:paraId="29BFEF93" w14:textId="77777777" w:rsidR="00451969" w:rsidRDefault="00451969"/>
    <w:p w14:paraId="4356A807" w14:textId="77777777" w:rsidR="00451969" w:rsidRDefault="00451969"/>
    <w:p w14:paraId="781017F8" w14:textId="77777777" w:rsidR="00451969" w:rsidRDefault="00451969" w:rsidP="00451969">
      <w:pPr>
        <w:ind w:left="720"/>
        <w:rPr>
          <w:rFonts w:eastAsia="Times New Roman" w:cstheme="minorHAnsi"/>
          <w:color w:val="454545"/>
          <w:shd w:val="clear" w:color="auto" w:fill="FFFFFF"/>
        </w:rPr>
        <w:sectPr w:rsidR="00451969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41321FE9" w14:textId="2527846D" w:rsidR="00451969" w:rsidRDefault="00451969" w:rsidP="00451969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3AFF05E9" w14:textId="4A6161B1" w:rsidR="00451969" w:rsidRDefault="00451969" w:rsidP="00451969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356CD2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305097">
        <w:rPr>
          <w:rFonts w:eastAsia="Times New Roman" w:cstheme="minorHAnsi"/>
          <w:color w:val="454545"/>
          <w:shd w:val="clear" w:color="auto" w:fill="FFFFFF"/>
        </w:rPr>
        <w:t>registration</w:t>
      </w:r>
      <w:r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6492946F" w14:textId="77777777" w:rsidR="00451969" w:rsidRDefault="00451969" w:rsidP="00451969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28DAA42F" w14:textId="6F309889" w:rsidR="00451969" w:rsidRPr="0025399C" w:rsidRDefault="00451969" w:rsidP="0025399C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25399C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356CD2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66D975EA" w14:textId="77777777" w:rsidR="00451969" w:rsidRPr="00923D90" w:rsidRDefault="00451969" w:rsidP="00451969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3F8D7FDA" w14:textId="77777777" w:rsidR="00451969" w:rsidRPr="009F46B5" w:rsidRDefault="00451969" w:rsidP="00451969">
      <w:pPr>
        <w:rPr>
          <w:rFonts w:cstheme="minorHAnsi"/>
          <w:b/>
        </w:rPr>
      </w:pPr>
    </w:p>
    <w:p w14:paraId="326EB2FA" w14:textId="77777777" w:rsidR="00451969" w:rsidRPr="009F46B5" w:rsidRDefault="00451969" w:rsidP="00451969">
      <w:pPr>
        <w:rPr>
          <w:rFonts w:cstheme="minorHAnsi"/>
          <w:b/>
        </w:rPr>
      </w:pPr>
    </w:p>
    <w:p w14:paraId="5BD4E00F" w14:textId="77777777" w:rsidR="00451969" w:rsidRPr="00923D90" w:rsidRDefault="00451969" w:rsidP="00451969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10A484FB" w14:textId="77777777" w:rsidR="00451969" w:rsidRPr="00923D90" w:rsidRDefault="00451969" w:rsidP="00451969">
      <w:pPr>
        <w:ind w:firstLine="720"/>
        <w:rPr>
          <w:rFonts w:cstheme="minorHAnsi"/>
          <w:b/>
        </w:rPr>
      </w:pPr>
    </w:p>
    <w:p w14:paraId="128E4962" w14:textId="77777777" w:rsidR="00451969" w:rsidRPr="00923D90" w:rsidRDefault="00451969" w:rsidP="0045196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1AA449AE" w14:textId="5C752E80" w:rsidR="00451969" w:rsidRPr="00356CD2" w:rsidRDefault="00451969" w:rsidP="00356CD2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356CD2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Pr="00356CD2">
        <w:rPr>
          <w:rFonts w:cstheme="minorHAnsi"/>
          <w:b/>
        </w:rPr>
        <w:t>any changes that you make.</w:t>
      </w:r>
    </w:p>
    <w:p w14:paraId="2BAB57AD" w14:textId="42F22D4C" w:rsidR="00451969" w:rsidRDefault="00356CD2" w:rsidP="00451969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Instruct all </w:t>
      </w:r>
      <w:r w:rsidR="00451969">
        <w:rPr>
          <w:rFonts w:cstheme="minorHAnsi"/>
          <w:b/>
        </w:rPr>
        <w:t xml:space="preserve">personnel to review the BARD and sign the last page, indicating that they have </w:t>
      </w:r>
    </w:p>
    <w:p w14:paraId="41E8FF92" w14:textId="77777777" w:rsidR="00451969" w:rsidRDefault="00451969" w:rsidP="00451969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6E78F546" w14:textId="77EE2297" w:rsidR="00451969" w:rsidRPr="00451969" w:rsidRDefault="00451969" w:rsidP="0045196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25399C" w:rsidRPr="0025399C">
        <w:rPr>
          <w:rFonts w:cstheme="minorHAnsi"/>
          <w:b/>
        </w:rPr>
        <w:t>master protocol</w:t>
      </w:r>
      <w:r w:rsidR="0025399C">
        <w:rPr>
          <w:rFonts w:cstheme="minorHAnsi"/>
          <w:b/>
        </w:rPr>
        <w:t xml:space="preserve"> </w:t>
      </w:r>
      <w:r w:rsidR="00305097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>
        <w:rPr>
          <w:rFonts w:cstheme="minorHAnsi"/>
          <w:b/>
        </w:rPr>
        <w:t>.</w:t>
      </w:r>
    </w:p>
    <w:p w14:paraId="64CA4E1A" w14:textId="77777777" w:rsidR="00451969" w:rsidRDefault="00451969"/>
    <w:p w14:paraId="402335E1" w14:textId="77777777" w:rsidR="00451969" w:rsidRDefault="00451969"/>
    <w:p w14:paraId="21D6CAF0" w14:textId="77777777" w:rsidR="00451969" w:rsidRDefault="00451969"/>
    <w:p w14:paraId="483416A1" w14:textId="77777777" w:rsidR="00451969" w:rsidRDefault="00451969"/>
    <w:p w14:paraId="1154F63C" w14:textId="77777777" w:rsidR="00451969" w:rsidRDefault="00451969"/>
    <w:p w14:paraId="037703D0" w14:textId="77777777" w:rsidR="00451969" w:rsidRDefault="00451969"/>
    <w:p w14:paraId="07D9F5E4" w14:textId="77777777" w:rsidR="00451969" w:rsidRDefault="00451969"/>
    <w:p w14:paraId="4FBAEF90" w14:textId="77777777" w:rsidR="00451969" w:rsidRDefault="00451969"/>
    <w:p w14:paraId="518548F1" w14:textId="77777777" w:rsidR="00451969" w:rsidRDefault="00451969"/>
    <w:p w14:paraId="014C3965" w14:textId="77777777" w:rsidR="00451969" w:rsidRDefault="00451969"/>
    <w:p w14:paraId="6442841F" w14:textId="77777777" w:rsidR="00451969" w:rsidRDefault="00451969"/>
    <w:p w14:paraId="66D38E73" w14:textId="77777777" w:rsidR="00451969" w:rsidRDefault="00451969"/>
    <w:p w14:paraId="5D0CBA60" w14:textId="77777777" w:rsidR="00451969" w:rsidRDefault="00451969"/>
    <w:p w14:paraId="4C56E498" w14:textId="77777777" w:rsidR="00451969" w:rsidRDefault="00451969"/>
    <w:p w14:paraId="3C8C6E64" w14:textId="77777777" w:rsidR="00451969" w:rsidRDefault="00451969"/>
    <w:p w14:paraId="7273BDA1" w14:textId="77777777" w:rsidR="00451969" w:rsidRDefault="00451969"/>
    <w:p w14:paraId="5D3EB861" w14:textId="77777777" w:rsidR="00451969" w:rsidRDefault="00451969"/>
    <w:p w14:paraId="4A345AD9" w14:textId="77777777" w:rsidR="00451969" w:rsidRDefault="00451969"/>
    <w:p w14:paraId="3D24C69E" w14:textId="77777777" w:rsidR="00451969" w:rsidRDefault="00451969">
      <w:pPr>
        <w:sectPr w:rsidR="00451969" w:rsidSect="00451969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31666B60" w14:textId="1C748526" w:rsidR="00451969" w:rsidRDefault="00451969"/>
    <w:p w14:paraId="5B96F6F2" w14:textId="77777777" w:rsidR="00451969" w:rsidRDefault="00451969"/>
    <w:p w14:paraId="498C9A8C" w14:textId="77777777" w:rsidR="00451969" w:rsidRDefault="00451969"/>
    <w:p w14:paraId="3211D7A2" w14:textId="77777777" w:rsidR="00451969" w:rsidRDefault="00451969"/>
    <w:p w14:paraId="718A3578" w14:textId="77777777" w:rsidR="00451969" w:rsidRDefault="00451969"/>
    <w:p w14:paraId="5E3231B5" w14:textId="77777777" w:rsidR="00451969" w:rsidRDefault="00451969"/>
    <w:p w14:paraId="46A9C2FF" w14:textId="77777777" w:rsidR="00451969" w:rsidRDefault="00451969"/>
    <w:p w14:paraId="79AA8D18" w14:textId="77777777" w:rsidR="00451969" w:rsidRDefault="00451969"/>
    <w:p w14:paraId="40B116F3" w14:textId="77777777" w:rsidR="00451969" w:rsidRDefault="00451969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3286E53A" w14:textId="77777777" w:rsidR="004E551A" w:rsidRDefault="008D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Gram-negative, motile, rod-shaped bacterium with polar flagella. Non-spore forming and can produce</w:t>
            </w:r>
            <w:r w:rsidR="001010B2">
              <w:rPr>
                <w:sz w:val="20"/>
                <w:szCs w:val="20"/>
              </w:rPr>
              <w:t xml:space="preserve"> pigments, such as pyocyanin</w:t>
            </w:r>
            <w:r w:rsidR="004E551A">
              <w:rPr>
                <w:sz w:val="20"/>
                <w:szCs w:val="20"/>
              </w:rPr>
              <w:t xml:space="preserve"> </w:t>
            </w:r>
          </w:p>
          <w:p w14:paraId="2F102308" w14:textId="582254AD" w:rsidR="008D35A9" w:rsidRDefault="004E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(blue-green)</w:t>
            </w:r>
            <w:r w:rsidR="00356CD2">
              <w:rPr>
                <w:sz w:val="20"/>
                <w:szCs w:val="20"/>
              </w:rPr>
              <w:t>. Opportunistic pathogen, most virulent species of this genus. Can produce a variety of extracellular toxins.</w:t>
            </w:r>
          </w:p>
        </w:tc>
      </w:tr>
      <w:tr w:rsidR="005733C9" w14:paraId="4F4FD244" w14:textId="77777777" w:rsidTr="004E551A">
        <w:trPr>
          <w:trHeight w:val="458"/>
        </w:trPr>
        <w:tc>
          <w:tcPr>
            <w:tcW w:w="1435" w:type="dxa"/>
          </w:tcPr>
          <w:p w14:paraId="7F0FCDBF" w14:textId="48E7F5D6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6F0D25B2" w:rsidR="00F15A99" w:rsidRDefault="00F15A99" w:rsidP="00A3583F">
            <w:pPr>
              <w:rPr>
                <w:sz w:val="20"/>
                <w:szCs w:val="20"/>
              </w:rPr>
            </w:pP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739DCED1" w:rsidR="00F04586" w:rsidRDefault="004E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Humans, wild &amp; domestic animals, livestock, plants, fungi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05039808" w:rsidR="00F04586" w:rsidRDefault="004E5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</w:t>
            </w:r>
            <w:r w:rsidR="00071F2C">
              <w:rPr>
                <w:sz w:val="20"/>
                <w:szCs w:val="20"/>
              </w:rPr>
              <w:t xml:space="preserve"> of aerosols</w:t>
            </w:r>
            <w:r>
              <w:rPr>
                <w:sz w:val="20"/>
                <w:szCs w:val="20"/>
              </w:rPr>
              <w:t>, contact with non-intact skin, mucous membrane exposure, ingestion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10CB4EB2" w:rsidR="00F04586" w:rsidRDefault="00071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Localized infection of lower respiratory tract, urinary tract, mucous membrane, ear, skin; depending on mode of transmission</w:t>
            </w:r>
          </w:p>
        </w:tc>
      </w:tr>
      <w:tr w:rsidR="005733C9" w14:paraId="76BD3404" w14:textId="77777777" w:rsidTr="00071F2C">
        <w:trPr>
          <w:trHeight w:val="512"/>
        </w:trPr>
        <w:tc>
          <w:tcPr>
            <w:tcW w:w="1435" w:type="dxa"/>
          </w:tcPr>
          <w:p w14:paraId="5E324A24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2EAFDCE7" w:rsidR="00F04586" w:rsidRDefault="00FD5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769E36F9" w:rsidR="00F04586" w:rsidRDefault="00FD5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Varies, 24 – 72 hours for eye infection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BF90D6" w14:textId="77777777" w:rsidR="00071F2C" w:rsidRDefault="00071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recommended in otherwise healthy individuals as it can lead to drug resistance. Antibiotics such as ciprofloxacin for patients </w:t>
            </w:r>
          </w:p>
          <w:p w14:paraId="2E007AC6" w14:textId="2F643FBF" w:rsidR="00D67EC6" w:rsidRDefault="00071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</w:t>
            </w:r>
            <w:r w:rsidR="00356CD2">
              <w:rPr>
                <w:sz w:val="20"/>
                <w:szCs w:val="20"/>
              </w:rPr>
              <w:t>cystic fibrosis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6C530E69" w:rsidR="00D67EC6" w:rsidRDefault="0041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appropriate antibiotic(s)</w:t>
            </w:r>
            <w:r w:rsidR="00DE0268">
              <w:rPr>
                <w:sz w:val="20"/>
                <w:szCs w:val="20"/>
              </w:rPr>
              <w:t xml:space="preserve">, wounds should be cleaned with surgical detergent disinfectants and/or topical antibacterial ointments 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3CB1348D" w:rsidR="00D67EC6" w:rsidRDefault="00D67EC6" w:rsidP="00DE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for symptoms and test using </w:t>
            </w:r>
            <w:r w:rsidR="00DE0268">
              <w:rPr>
                <w:sz w:val="20"/>
                <w:szCs w:val="20"/>
              </w:rPr>
              <w:t>bacteriological culture and identification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60BDD0B4" w:rsidR="00D67EC6" w:rsidRDefault="00356CD2" w:rsidP="00DE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C1C19">
              <w:rPr>
                <w:sz w:val="20"/>
                <w:szCs w:val="20"/>
              </w:rPr>
              <w:t xml:space="preserve">esistant to many antibiotics, common cause of nosocomial infections. </w:t>
            </w:r>
            <w:r w:rsidR="00DE0268">
              <w:rPr>
                <w:sz w:val="20"/>
                <w:szCs w:val="20"/>
              </w:rPr>
              <w:t>Immunocompromised individuals are at highest risk</w:t>
            </w:r>
            <w:r w:rsidR="0022328D">
              <w:rPr>
                <w:sz w:val="20"/>
                <w:szCs w:val="20"/>
              </w:rPr>
              <w:t>.</w:t>
            </w:r>
            <w:r w:rsidR="00DE0268">
              <w:rPr>
                <w:sz w:val="20"/>
                <w:szCs w:val="20"/>
              </w:rPr>
              <w:t xml:space="preserve">  </w:t>
            </w:r>
          </w:p>
        </w:tc>
      </w:tr>
    </w:tbl>
    <w:p w14:paraId="52262179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5670" w:type="dxa"/>
        <w:tblInd w:w="-2" w:type="dxa"/>
        <w:tblLook w:val="04A0" w:firstRow="1" w:lastRow="0" w:firstColumn="1" w:lastColumn="0" w:noHBand="0" w:noVBand="1"/>
      </w:tblPr>
      <w:tblGrid>
        <w:gridCol w:w="1440"/>
        <w:gridCol w:w="4230"/>
      </w:tblGrid>
      <w:tr w:rsidR="00DE0268" w14:paraId="537741BB" w14:textId="77777777" w:rsidTr="00DE0268">
        <w:trPr>
          <w:trHeight w:val="269"/>
        </w:trPr>
        <w:tc>
          <w:tcPr>
            <w:tcW w:w="5670" w:type="dxa"/>
            <w:gridSpan w:val="2"/>
            <w:shd w:val="clear" w:color="auto" w:fill="538135" w:themeFill="accent6" w:themeFillShade="BF"/>
          </w:tcPr>
          <w:p w14:paraId="1BDEF55A" w14:textId="77777777" w:rsidR="005733C9" w:rsidRPr="005733C9" w:rsidRDefault="005733C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E0268" w14:paraId="0610CE46" w14:textId="77777777" w:rsidTr="00DE0268">
        <w:tc>
          <w:tcPr>
            <w:tcW w:w="1440" w:type="dxa"/>
          </w:tcPr>
          <w:p w14:paraId="21217A14" w14:textId="77777777" w:rsidR="005733C9" w:rsidRPr="00E37F21" w:rsidRDefault="005733C9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230" w:type="dxa"/>
          </w:tcPr>
          <w:p w14:paraId="1C550E42" w14:textId="58777011" w:rsidR="005733C9" w:rsidRDefault="00DE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reported to date.</w:t>
            </w:r>
          </w:p>
        </w:tc>
      </w:tr>
      <w:tr w:rsidR="00DE0268" w14:paraId="073077AE" w14:textId="77777777" w:rsidTr="00DE0268">
        <w:tc>
          <w:tcPr>
            <w:tcW w:w="1440" w:type="dxa"/>
          </w:tcPr>
          <w:p w14:paraId="4DC6142B" w14:textId="77777777" w:rsidR="005733C9" w:rsidRPr="00E37F21" w:rsidRDefault="005733C9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230" w:type="dxa"/>
          </w:tcPr>
          <w:p w14:paraId="43008D10" w14:textId="0D33F812" w:rsidR="005733C9" w:rsidRDefault="00DE0268" w:rsidP="00DE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Blood, urine, skin, sputum, soft tissues, lower respiratory tract secretions, wound exudates from infected humans &amp;</w:t>
            </w:r>
            <w:r w:rsidR="005733C9">
              <w:rPr>
                <w:sz w:val="20"/>
                <w:szCs w:val="20"/>
              </w:rPr>
              <w:t xml:space="preserve"> animals</w:t>
            </w:r>
            <w:r>
              <w:rPr>
                <w:sz w:val="20"/>
                <w:szCs w:val="20"/>
              </w:rPr>
              <w:t>, contaminated water sources, and laboratory cultures.</w:t>
            </w:r>
          </w:p>
        </w:tc>
      </w:tr>
    </w:tbl>
    <w:p w14:paraId="696C1205" w14:textId="77777777" w:rsidR="005733C9" w:rsidRDefault="005733C9">
      <w:pPr>
        <w:rPr>
          <w:sz w:val="20"/>
          <w:szCs w:val="20"/>
        </w:rPr>
      </w:pPr>
    </w:p>
    <w:p w14:paraId="4B181D75" w14:textId="77777777" w:rsidR="00DE0268" w:rsidRDefault="00DE0268">
      <w:pPr>
        <w:rPr>
          <w:sz w:val="20"/>
          <w:szCs w:val="20"/>
        </w:rPr>
      </w:pPr>
    </w:p>
    <w:p w14:paraId="772EE33F" w14:textId="77777777" w:rsidR="00DE0268" w:rsidRDefault="00DE0268">
      <w:pPr>
        <w:rPr>
          <w:sz w:val="20"/>
          <w:szCs w:val="20"/>
        </w:rPr>
      </w:pPr>
    </w:p>
    <w:p w14:paraId="07507E2A" w14:textId="77777777" w:rsidR="00DE0268" w:rsidRDefault="00DE0268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4340"/>
      </w:tblGrid>
      <w:tr w:rsidR="00FD5BF9" w14:paraId="7326FC39" w14:textId="77777777" w:rsidTr="00FD5BF9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FD5BF9" w14:paraId="3295084F" w14:textId="77777777" w:rsidTr="00FD5BF9">
        <w:tc>
          <w:tcPr>
            <w:tcW w:w="144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340" w:type="dxa"/>
          </w:tcPr>
          <w:p w14:paraId="5929C5C5" w14:textId="77777777" w:rsidR="005733C9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cell cultures of laboratory adapted strains (RG2)</w:t>
            </w:r>
          </w:p>
        </w:tc>
      </w:tr>
      <w:tr w:rsidR="00FD5BF9" w14:paraId="50B71E50" w14:textId="77777777" w:rsidTr="00FD5BF9">
        <w:tc>
          <w:tcPr>
            <w:tcW w:w="144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340" w:type="dxa"/>
          </w:tcPr>
          <w:p w14:paraId="519809A7" w14:textId="3604D179" w:rsidR="005733C9" w:rsidRDefault="005733C9">
            <w:pPr>
              <w:rPr>
                <w:sz w:val="20"/>
                <w:szCs w:val="20"/>
              </w:rPr>
            </w:pPr>
          </w:p>
        </w:tc>
      </w:tr>
      <w:tr w:rsidR="00FD5BF9" w14:paraId="449673AC" w14:textId="77777777" w:rsidTr="00FD5BF9">
        <w:tc>
          <w:tcPr>
            <w:tcW w:w="144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340" w:type="dxa"/>
          </w:tcPr>
          <w:p w14:paraId="17E84471" w14:textId="7E5B7DDA" w:rsidR="005733C9" w:rsidRDefault="00680AC1" w:rsidP="00DE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DE0268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infected with risk group 2 strains</w:t>
            </w:r>
          </w:p>
        </w:tc>
      </w:tr>
      <w:tr w:rsidR="00FD5BF9" w14:paraId="48F1431D" w14:textId="77777777" w:rsidTr="00FD5BF9">
        <w:tc>
          <w:tcPr>
            <w:tcW w:w="144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340" w:type="dxa"/>
          </w:tcPr>
          <w:p w14:paraId="70780F56" w14:textId="71E4DBFB" w:rsidR="005733C9" w:rsidRDefault="005733C9">
            <w:pPr>
              <w:rPr>
                <w:sz w:val="20"/>
                <w:szCs w:val="20"/>
              </w:rPr>
            </w:pPr>
          </w:p>
        </w:tc>
      </w:tr>
      <w:tr w:rsidR="00FD5BF9" w14:paraId="6AFE6ACB" w14:textId="77777777" w:rsidTr="00FD5BF9">
        <w:tc>
          <w:tcPr>
            <w:tcW w:w="144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340" w:type="dxa"/>
          </w:tcPr>
          <w:p w14:paraId="6871A61C" w14:textId="724544E1" w:rsidR="004F4CD9" w:rsidRDefault="0073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animal surgeries, cell sorting, pipetting, pouring liquids, sonicating, loading syringes</w:t>
            </w:r>
          </w:p>
        </w:tc>
      </w:tr>
      <w:tr w:rsidR="00FD5BF9" w14:paraId="41CE5316" w14:textId="77777777" w:rsidTr="00FD5BF9">
        <w:tc>
          <w:tcPr>
            <w:tcW w:w="144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340" w:type="dxa"/>
          </w:tcPr>
          <w:p w14:paraId="662202B2" w14:textId="6BB5F0ED" w:rsidR="00CD543C" w:rsidRDefault="0037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aerosol-generating activities, high concentrations, or large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FD5BF9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FD5BF9" w14:paraId="6057CB70" w14:textId="77777777" w:rsidTr="00FD5BF9">
        <w:tc>
          <w:tcPr>
            <w:tcW w:w="144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30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FD5BF9" w14:paraId="6F0C3BBB" w14:textId="77777777" w:rsidTr="00FD5BF9">
        <w:trPr>
          <w:trHeight w:val="521"/>
        </w:trPr>
        <w:tc>
          <w:tcPr>
            <w:tcW w:w="144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30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FD5BF9" w14:paraId="79348B75" w14:textId="77777777" w:rsidTr="00FD5BF9">
        <w:tc>
          <w:tcPr>
            <w:tcW w:w="144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308" w:type="dxa"/>
          </w:tcPr>
          <w:p w14:paraId="482CC955" w14:textId="296520E5" w:rsidR="00680AC1" w:rsidRDefault="0063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FD5BF9" w14:paraId="7AD6EA23" w14:textId="77777777" w:rsidTr="00FD5BF9">
        <w:tc>
          <w:tcPr>
            <w:tcW w:w="144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308" w:type="dxa"/>
          </w:tcPr>
          <w:p w14:paraId="042FC4B8" w14:textId="77777777" w:rsidR="0063311E" w:rsidRDefault="0063311E" w:rsidP="00633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379A7513" w14:textId="77777777" w:rsidR="0063311E" w:rsidRDefault="0063311E" w:rsidP="006331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3B8A3684" w14:textId="77777777" w:rsidR="0063311E" w:rsidRDefault="0063311E" w:rsidP="006331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19B3DCF5" w:rsidR="00680AC1" w:rsidRPr="0063311E" w:rsidRDefault="0063311E" w:rsidP="006331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311E"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D03E47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1685D3EC" w:rsidR="009E6568" w:rsidRDefault="005A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Nitrile gloves,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 w:rsidR="00A14B35"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3E0A3AF3" w14:textId="77777777" w:rsidR="009E6568" w:rsidRDefault="00F608AC" w:rsidP="00DE0268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2984554B" w:rsidR="00AA42B5" w:rsidRPr="00E37F21" w:rsidRDefault="00AA42B5" w:rsidP="00DE026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54C8EFFE" w:rsidR="00F608AC" w:rsidRDefault="00197F5A" w:rsidP="00AA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Sharps use strictly limited. </w:t>
            </w: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58E091A" w14:textId="77777777" w:rsidR="00451969" w:rsidRDefault="00451969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692DBA1C" w:rsidR="00E37F21" w:rsidRDefault="00E3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Susceptible to 1% sodium hypochlorite, 2% glutaraldehyde, 70% ethanol</w:t>
            </w:r>
            <w:r w:rsidR="00A14B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formaldehyde</w:t>
            </w:r>
            <w:r w:rsidR="00451969">
              <w:rPr>
                <w:sz w:val="20"/>
                <w:szCs w:val="20"/>
              </w:rPr>
              <w:t>; with 10-minute contact time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0FF71952" w:rsidR="00E37F21" w:rsidRDefault="00E37F21" w:rsidP="00A1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Inactivated by </w:t>
            </w:r>
            <w:r w:rsidR="00A14B35">
              <w:rPr>
                <w:sz w:val="20"/>
                <w:szCs w:val="20"/>
              </w:rPr>
              <w:t>steam autoclaving for at least 15 minutes, dry heat at 170-250</w:t>
            </w:r>
            <w:r w:rsidR="00356CD2">
              <w:rPr>
                <w:sz w:val="20"/>
                <w:szCs w:val="20"/>
              </w:rPr>
              <w:sym w:font="Symbol" w:char="F0B0"/>
            </w:r>
            <w:r w:rsidR="00A14B35">
              <w:rPr>
                <w:sz w:val="20"/>
                <w:szCs w:val="20"/>
              </w:rPr>
              <w:t>C or higher for at least 30 minutes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09208473" w:rsidR="00E37F21" w:rsidRDefault="00E37F21" w:rsidP="00A1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Capable of surviving </w:t>
            </w:r>
            <w:r w:rsidR="00A14B35">
              <w:rPr>
                <w:sz w:val="20"/>
                <w:szCs w:val="20"/>
              </w:rPr>
              <w:t>for months on dry surfaces and inanimate objects, humidity can improve persistence, growth observed in distilled water, &amp; can survive for months with minimal nutrients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FD5B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046FC443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356CD2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FD5B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873" w:type="dxa"/>
        <w:tblLook w:val="04A0" w:firstRow="1" w:lastRow="0" w:firstColumn="1" w:lastColumn="0" w:noHBand="0" w:noVBand="1"/>
      </w:tblPr>
      <w:tblGrid>
        <w:gridCol w:w="11873"/>
      </w:tblGrid>
      <w:tr w:rsidR="008430F7" w:rsidRPr="004A786C" w14:paraId="0D1D2274" w14:textId="77777777" w:rsidTr="00EC1C19">
        <w:trPr>
          <w:trHeight w:val="323"/>
        </w:trPr>
        <w:tc>
          <w:tcPr>
            <w:tcW w:w="11873" w:type="dxa"/>
            <w:shd w:val="clear" w:color="auto" w:fill="538135" w:themeFill="accent6" w:themeFillShade="BF"/>
          </w:tcPr>
          <w:p w14:paraId="41E519D7" w14:textId="580138EC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EC1C19">
              <w:rPr>
                <w:b/>
                <w:caps/>
                <w:color w:val="FFFFFF" w:themeColor="background1"/>
              </w:rPr>
              <w:t xml:space="preserve">                                                              SIGNATURE                                                               DATE</w:t>
            </w:r>
          </w:p>
        </w:tc>
      </w:tr>
      <w:tr w:rsidR="008430F7" w:rsidRPr="004A786C" w14:paraId="1785F972" w14:textId="77777777" w:rsidTr="00EC1C19">
        <w:trPr>
          <w:trHeight w:val="257"/>
        </w:trPr>
        <w:tc>
          <w:tcPr>
            <w:tcW w:w="11873" w:type="dxa"/>
          </w:tcPr>
          <w:p w14:paraId="31BF6B59" w14:textId="77777777" w:rsidR="00775188" w:rsidRPr="004A786C" w:rsidRDefault="00775188" w:rsidP="00775188"/>
        </w:tc>
      </w:tr>
      <w:tr w:rsidR="008430F7" w:rsidRPr="004A786C" w14:paraId="0959FE22" w14:textId="77777777" w:rsidTr="00EC1C19">
        <w:trPr>
          <w:trHeight w:val="257"/>
        </w:trPr>
        <w:tc>
          <w:tcPr>
            <w:tcW w:w="11873" w:type="dxa"/>
          </w:tcPr>
          <w:p w14:paraId="09BF422A" w14:textId="77777777" w:rsidR="00775188" w:rsidRPr="004A786C" w:rsidRDefault="00775188" w:rsidP="00775188"/>
        </w:tc>
      </w:tr>
      <w:tr w:rsidR="008430F7" w:rsidRPr="004A786C" w14:paraId="5E2D6C9C" w14:textId="77777777" w:rsidTr="00EC1C19">
        <w:trPr>
          <w:trHeight w:val="257"/>
        </w:trPr>
        <w:tc>
          <w:tcPr>
            <w:tcW w:w="11873" w:type="dxa"/>
          </w:tcPr>
          <w:p w14:paraId="5C770CA8" w14:textId="77777777" w:rsidR="00775188" w:rsidRPr="004A786C" w:rsidRDefault="00775188" w:rsidP="00775188"/>
        </w:tc>
      </w:tr>
      <w:tr w:rsidR="008430F7" w:rsidRPr="004A786C" w14:paraId="689896BF" w14:textId="77777777" w:rsidTr="00EC1C19">
        <w:trPr>
          <w:trHeight w:val="257"/>
        </w:trPr>
        <w:tc>
          <w:tcPr>
            <w:tcW w:w="11873" w:type="dxa"/>
          </w:tcPr>
          <w:p w14:paraId="0FAC85E0" w14:textId="77777777" w:rsidR="00775188" w:rsidRPr="004A786C" w:rsidRDefault="00775188" w:rsidP="00775188"/>
        </w:tc>
      </w:tr>
      <w:tr w:rsidR="008430F7" w:rsidRPr="004A786C" w14:paraId="57371DBA" w14:textId="77777777" w:rsidTr="00EC1C19">
        <w:trPr>
          <w:trHeight w:val="257"/>
        </w:trPr>
        <w:tc>
          <w:tcPr>
            <w:tcW w:w="11873" w:type="dxa"/>
          </w:tcPr>
          <w:p w14:paraId="40DC1C51" w14:textId="77777777" w:rsidR="00775188" w:rsidRPr="004A786C" w:rsidRDefault="00775188" w:rsidP="00775188"/>
        </w:tc>
      </w:tr>
      <w:tr w:rsidR="008430F7" w:rsidRPr="004A786C" w14:paraId="50FB741A" w14:textId="77777777" w:rsidTr="00EC1C19">
        <w:trPr>
          <w:trHeight w:val="257"/>
        </w:trPr>
        <w:tc>
          <w:tcPr>
            <w:tcW w:w="11873" w:type="dxa"/>
          </w:tcPr>
          <w:p w14:paraId="787C3B4A" w14:textId="77777777" w:rsidR="00775188" w:rsidRPr="004A786C" w:rsidRDefault="00775188" w:rsidP="00775188"/>
        </w:tc>
      </w:tr>
      <w:tr w:rsidR="00775188" w:rsidRPr="004A786C" w14:paraId="14B6D0F1" w14:textId="77777777" w:rsidTr="00EC1C19">
        <w:trPr>
          <w:trHeight w:val="257"/>
        </w:trPr>
        <w:tc>
          <w:tcPr>
            <w:tcW w:w="11873" w:type="dxa"/>
          </w:tcPr>
          <w:p w14:paraId="63C1967B" w14:textId="77777777" w:rsidR="00775188" w:rsidRPr="004A786C" w:rsidRDefault="00775188" w:rsidP="00775188"/>
        </w:tc>
      </w:tr>
      <w:tr w:rsidR="00775188" w:rsidRPr="004A786C" w14:paraId="261CD8E4" w14:textId="77777777" w:rsidTr="00EC1C19">
        <w:trPr>
          <w:trHeight w:val="257"/>
        </w:trPr>
        <w:tc>
          <w:tcPr>
            <w:tcW w:w="11873" w:type="dxa"/>
          </w:tcPr>
          <w:p w14:paraId="447A6260" w14:textId="77777777" w:rsidR="00775188" w:rsidRPr="004A786C" w:rsidRDefault="00775188" w:rsidP="00775188"/>
        </w:tc>
      </w:tr>
    </w:tbl>
    <w:p w14:paraId="1BA5C7A5" w14:textId="77777777" w:rsidR="00775188" w:rsidRDefault="00775188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2432576C" w14:textId="77777777" w:rsidR="00451969" w:rsidRPr="00DC0F42" w:rsidRDefault="00451969" w:rsidP="00451969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3A509B62" w14:textId="77777777" w:rsidR="00451969" w:rsidRDefault="00451969" w:rsidP="00451969">
      <w:pPr>
        <w:rPr>
          <w:sz w:val="20"/>
          <w:szCs w:val="20"/>
        </w:rPr>
      </w:pPr>
    </w:p>
    <w:p w14:paraId="4165CD94" w14:textId="77777777" w:rsidR="00451969" w:rsidRDefault="00451969" w:rsidP="00451969">
      <w:pPr>
        <w:rPr>
          <w:sz w:val="20"/>
          <w:szCs w:val="20"/>
        </w:rPr>
      </w:pPr>
    </w:p>
    <w:p w14:paraId="798C6B79" w14:textId="77777777" w:rsidR="00451969" w:rsidRDefault="00451969" w:rsidP="00451969">
      <w:pPr>
        <w:rPr>
          <w:sz w:val="20"/>
          <w:szCs w:val="20"/>
        </w:rPr>
      </w:pPr>
    </w:p>
    <w:p w14:paraId="1B03F074" w14:textId="77777777" w:rsidR="00451969" w:rsidRDefault="00451969" w:rsidP="0045196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012C5069" w14:textId="77777777" w:rsidR="00451969" w:rsidRDefault="00451969" w:rsidP="00451969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B2DCD8F" w14:textId="77777777" w:rsidR="00775188" w:rsidRDefault="00775188">
      <w:pPr>
        <w:rPr>
          <w:sz w:val="20"/>
          <w:szCs w:val="20"/>
        </w:rPr>
      </w:pPr>
    </w:p>
    <w:p w14:paraId="4733A49D" w14:textId="77777777" w:rsidR="00775188" w:rsidRDefault="00775188">
      <w:pPr>
        <w:rPr>
          <w:sz w:val="20"/>
          <w:szCs w:val="20"/>
        </w:rPr>
      </w:pP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17FDBD1F" w14:textId="77777777" w:rsidR="0091239C" w:rsidRDefault="0091239C">
      <w:pPr>
        <w:rPr>
          <w:sz w:val="20"/>
          <w:szCs w:val="20"/>
        </w:rPr>
      </w:pPr>
    </w:p>
    <w:p w14:paraId="02DE4755" w14:textId="77777777" w:rsidR="0091239C" w:rsidRDefault="0091239C">
      <w:pPr>
        <w:rPr>
          <w:sz w:val="20"/>
          <w:szCs w:val="20"/>
        </w:rPr>
      </w:pPr>
    </w:p>
    <w:p w14:paraId="24080499" w14:textId="77777777" w:rsidR="00775188" w:rsidRDefault="0077518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95" w:tblpY="-36"/>
        <w:tblW w:w="5600" w:type="dxa"/>
        <w:tblLayout w:type="fixed"/>
        <w:tblLook w:val="04A0" w:firstRow="1" w:lastRow="0" w:firstColumn="1" w:lastColumn="0" w:noHBand="0" w:noVBand="1"/>
      </w:tblPr>
      <w:tblGrid>
        <w:gridCol w:w="1440"/>
        <w:gridCol w:w="4160"/>
      </w:tblGrid>
      <w:tr w:rsidR="00FD5BF9" w14:paraId="02D05E59" w14:textId="77777777" w:rsidTr="00451969">
        <w:trPr>
          <w:trHeight w:val="172"/>
        </w:trPr>
        <w:tc>
          <w:tcPr>
            <w:tcW w:w="5600" w:type="dxa"/>
            <w:gridSpan w:val="2"/>
            <w:shd w:val="clear" w:color="auto" w:fill="538135" w:themeFill="accent6" w:themeFillShade="BF"/>
          </w:tcPr>
          <w:p w14:paraId="519957F6" w14:textId="77777777" w:rsidR="00FD5BF9" w:rsidRPr="00266376" w:rsidRDefault="00FD5BF9" w:rsidP="0045196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FD5BF9" w14:paraId="7872167C" w14:textId="77777777" w:rsidTr="00451969">
        <w:trPr>
          <w:trHeight w:val="349"/>
        </w:trPr>
        <w:tc>
          <w:tcPr>
            <w:tcW w:w="1440" w:type="dxa"/>
          </w:tcPr>
          <w:p w14:paraId="0EC037FA" w14:textId="77777777" w:rsidR="00FD5BF9" w:rsidRDefault="00FD5BF9" w:rsidP="0045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7F303BC6" w14:textId="77777777" w:rsidR="00FD5BF9" w:rsidRDefault="00F04D1C" w:rsidP="00451969">
            <w:pPr>
              <w:rPr>
                <w:sz w:val="20"/>
                <w:szCs w:val="20"/>
              </w:rPr>
            </w:pPr>
            <w:hyperlink r:id="rId11" w:history="1">
              <w:r w:rsidR="00FD5BF9" w:rsidRPr="00A14B35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https://www.canada.ca/en/public-health/services/laboratory-biosafety-biosecurity/pathogen-safety-data-sheets-risk-assessment/pseudomonas.html</w:t>
              </w:r>
            </w:hyperlink>
          </w:p>
        </w:tc>
      </w:tr>
      <w:tr w:rsidR="00FD5BF9" w14:paraId="6C6E3074" w14:textId="77777777" w:rsidTr="00451969">
        <w:trPr>
          <w:trHeight w:val="172"/>
        </w:trPr>
        <w:tc>
          <w:tcPr>
            <w:tcW w:w="1440" w:type="dxa"/>
          </w:tcPr>
          <w:p w14:paraId="4BD5811E" w14:textId="77777777" w:rsidR="00FD5BF9" w:rsidRDefault="00FD5BF9" w:rsidP="0045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8C72F4B" w14:textId="77777777" w:rsidR="00FD5BF9" w:rsidRDefault="00F04D1C" w:rsidP="00451969">
            <w:pPr>
              <w:rPr>
                <w:sz w:val="20"/>
                <w:szCs w:val="20"/>
              </w:rPr>
            </w:pPr>
            <w:hyperlink r:id="rId12" w:history="1">
              <w:r w:rsidR="00FD5BF9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FD5BF9" w14:paraId="55B0BF22" w14:textId="77777777" w:rsidTr="00451969">
        <w:trPr>
          <w:trHeight w:val="358"/>
        </w:trPr>
        <w:tc>
          <w:tcPr>
            <w:tcW w:w="1440" w:type="dxa"/>
          </w:tcPr>
          <w:p w14:paraId="5A45B4AC" w14:textId="77777777" w:rsidR="00FD5BF9" w:rsidRDefault="00FD5BF9" w:rsidP="0045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Guidelines </w:t>
            </w:r>
          </w:p>
        </w:tc>
        <w:tc>
          <w:tcPr>
            <w:tcW w:w="4160" w:type="dxa"/>
          </w:tcPr>
          <w:p w14:paraId="3F30FEEE" w14:textId="77777777" w:rsidR="00FD5BF9" w:rsidRDefault="00F04D1C" w:rsidP="00451969">
            <w:pPr>
              <w:rPr>
                <w:sz w:val="20"/>
                <w:szCs w:val="20"/>
              </w:rPr>
            </w:pPr>
            <w:hyperlink r:id="rId13" w:history="1">
              <w:r w:rsidR="00FD5BF9" w:rsidRPr="00EC1C19">
                <w:rPr>
                  <w:rStyle w:val="Hyperlink"/>
                  <w:sz w:val="20"/>
                  <w:szCs w:val="20"/>
                </w:rPr>
                <w:t>https://www.cdc.gov/hai/organisms/pseudomonas.html</w:t>
              </w:r>
            </w:hyperlink>
          </w:p>
        </w:tc>
      </w:tr>
      <w:tr w:rsidR="00FD5BF9" w14:paraId="0EB9A8E5" w14:textId="77777777" w:rsidTr="00451969">
        <w:trPr>
          <w:trHeight w:val="1252"/>
        </w:trPr>
        <w:tc>
          <w:tcPr>
            <w:tcW w:w="1440" w:type="dxa"/>
          </w:tcPr>
          <w:p w14:paraId="78A170E9" w14:textId="77777777" w:rsidR="00FD5BF9" w:rsidRDefault="00FD5BF9" w:rsidP="0045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Protocols in Microbiology</w:t>
            </w:r>
          </w:p>
        </w:tc>
        <w:tc>
          <w:tcPr>
            <w:tcW w:w="4160" w:type="dxa"/>
          </w:tcPr>
          <w:p w14:paraId="64759A9F" w14:textId="77777777" w:rsidR="00FD5BF9" w:rsidRDefault="00F04D1C" w:rsidP="00451969">
            <w:pPr>
              <w:rPr>
                <w:sz w:val="20"/>
                <w:szCs w:val="20"/>
              </w:rPr>
            </w:pPr>
            <w:hyperlink r:id="rId14" w:history="1">
              <w:r w:rsidR="00FD5BF9" w:rsidRPr="00AC7F91">
                <w:rPr>
                  <w:rStyle w:val="Hyperlink"/>
                  <w:sz w:val="20"/>
                  <w:szCs w:val="20"/>
                </w:rPr>
                <w:t>http://onlinelibrary.wiley.com/doi/10.1002/9780471729259.mc06e01s25/abstract</w:t>
              </w:r>
            </w:hyperlink>
          </w:p>
        </w:tc>
      </w:tr>
    </w:tbl>
    <w:p w14:paraId="62A52D55" w14:textId="77777777" w:rsidR="00775188" w:rsidRDefault="00775188">
      <w:pPr>
        <w:rPr>
          <w:sz w:val="20"/>
          <w:szCs w:val="20"/>
        </w:rPr>
      </w:pPr>
    </w:p>
    <w:p w14:paraId="75C90837" w14:textId="77777777" w:rsidR="00775188" w:rsidRDefault="00775188">
      <w:pPr>
        <w:rPr>
          <w:sz w:val="20"/>
          <w:szCs w:val="20"/>
        </w:rPr>
      </w:pPr>
    </w:p>
    <w:p w14:paraId="3C4D2D3A" w14:textId="77777777" w:rsidR="00775188" w:rsidRDefault="00775188">
      <w:pPr>
        <w:rPr>
          <w:sz w:val="20"/>
          <w:szCs w:val="20"/>
        </w:rPr>
      </w:pPr>
    </w:p>
    <w:p w14:paraId="1D68C8F6" w14:textId="77777777" w:rsidR="00775188" w:rsidRDefault="00775188">
      <w:pPr>
        <w:rPr>
          <w:sz w:val="20"/>
          <w:szCs w:val="20"/>
        </w:rPr>
      </w:pPr>
    </w:p>
    <w:p w14:paraId="57F23B17" w14:textId="77777777" w:rsidR="00775188" w:rsidRDefault="00775188">
      <w:pPr>
        <w:rPr>
          <w:sz w:val="20"/>
          <w:szCs w:val="20"/>
        </w:rPr>
      </w:pPr>
    </w:p>
    <w:p w14:paraId="02D1C444" w14:textId="77777777" w:rsidR="00775188" w:rsidRDefault="00775188">
      <w:pPr>
        <w:rPr>
          <w:sz w:val="20"/>
          <w:szCs w:val="20"/>
        </w:rPr>
      </w:pPr>
    </w:p>
    <w:p w14:paraId="6FCCF31D" w14:textId="77777777" w:rsidR="00775188" w:rsidRDefault="00775188">
      <w:pPr>
        <w:rPr>
          <w:sz w:val="20"/>
          <w:szCs w:val="20"/>
        </w:rPr>
      </w:pPr>
    </w:p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2CFBF547" w14:textId="77777777" w:rsidR="00451969" w:rsidRDefault="00451969">
      <w:pPr>
        <w:rPr>
          <w:sz w:val="20"/>
          <w:szCs w:val="20"/>
        </w:rPr>
      </w:pPr>
    </w:p>
    <w:p w14:paraId="58FD7D49" w14:textId="77777777" w:rsidR="00451969" w:rsidRDefault="00451969">
      <w:pPr>
        <w:rPr>
          <w:sz w:val="20"/>
          <w:szCs w:val="20"/>
        </w:rPr>
      </w:pPr>
    </w:p>
    <w:p w14:paraId="0FBC37DC" w14:textId="77777777" w:rsidR="00451969" w:rsidRDefault="00451969">
      <w:pPr>
        <w:rPr>
          <w:sz w:val="20"/>
          <w:szCs w:val="20"/>
        </w:rPr>
      </w:pPr>
    </w:p>
    <w:p w14:paraId="42B79A56" w14:textId="77777777" w:rsidR="00451969" w:rsidRDefault="00451969">
      <w:pPr>
        <w:rPr>
          <w:sz w:val="20"/>
          <w:szCs w:val="20"/>
        </w:rPr>
      </w:pPr>
    </w:p>
    <w:p w14:paraId="18A89D8D" w14:textId="77777777" w:rsidR="00451969" w:rsidRDefault="00451969">
      <w:pPr>
        <w:rPr>
          <w:sz w:val="20"/>
          <w:szCs w:val="20"/>
        </w:rPr>
      </w:pPr>
    </w:p>
    <w:p w14:paraId="17B0E891" w14:textId="77777777" w:rsidR="00451969" w:rsidRDefault="00451969">
      <w:pPr>
        <w:rPr>
          <w:sz w:val="20"/>
          <w:szCs w:val="20"/>
        </w:rPr>
      </w:pPr>
    </w:p>
    <w:p w14:paraId="78D6BAF2" w14:textId="77777777" w:rsidR="00451969" w:rsidRDefault="00451969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16953064" w14:textId="77777777" w:rsidR="00451969" w:rsidRDefault="00451969" w:rsidP="00451969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746E1802" w14:textId="77777777" w:rsidR="00451969" w:rsidRDefault="00451969" w:rsidP="00451969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451969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740C" w14:textId="77777777" w:rsidR="00F04D1C" w:rsidRDefault="00F04D1C" w:rsidP="00F15A99">
      <w:r>
        <w:separator/>
      </w:r>
    </w:p>
  </w:endnote>
  <w:endnote w:type="continuationSeparator" w:id="0">
    <w:p w14:paraId="6DED50A5" w14:textId="77777777" w:rsidR="00F04D1C" w:rsidRDefault="00F04D1C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D0B4" w14:textId="145824E6" w:rsidR="00451969" w:rsidRDefault="00451969">
    <w:pPr>
      <w:pStyle w:val="Footer"/>
    </w:pPr>
    <w:r>
      <w:t xml:space="preserve">Principal Investigator: ___________________________________     IBC </w:t>
    </w:r>
    <w:r w:rsidR="00305097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DA44" w14:textId="77777777" w:rsidR="00F04D1C" w:rsidRDefault="00F04D1C" w:rsidP="00F15A99">
      <w:r>
        <w:separator/>
      </w:r>
    </w:p>
  </w:footnote>
  <w:footnote w:type="continuationSeparator" w:id="0">
    <w:p w14:paraId="1C9F1F2E" w14:textId="77777777" w:rsidR="00F04D1C" w:rsidRDefault="00F04D1C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2A3BEF6C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197F5A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130ED2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79580446" w:rsidR="0088621B" w:rsidRDefault="00D3279D" w:rsidP="00D3279D">
    <w:pPr>
      <w:jc w:val="center"/>
    </w:pPr>
    <w:r>
      <w:t>Pseudomonas aeruginosa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45368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71F2C"/>
    <w:rsid w:val="000E0FAF"/>
    <w:rsid w:val="001010B2"/>
    <w:rsid w:val="00105D81"/>
    <w:rsid w:val="001137DE"/>
    <w:rsid w:val="0011612B"/>
    <w:rsid w:val="00130ED2"/>
    <w:rsid w:val="00197F5A"/>
    <w:rsid w:val="001C3B8D"/>
    <w:rsid w:val="0022328D"/>
    <w:rsid w:val="0025399C"/>
    <w:rsid w:val="00266376"/>
    <w:rsid w:val="002920ED"/>
    <w:rsid w:val="00305097"/>
    <w:rsid w:val="00331085"/>
    <w:rsid w:val="0033428A"/>
    <w:rsid w:val="00356CD2"/>
    <w:rsid w:val="00371EBB"/>
    <w:rsid w:val="00411E1A"/>
    <w:rsid w:val="00451969"/>
    <w:rsid w:val="004A5500"/>
    <w:rsid w:val="004A786C"/>
    <w:rsid w:val="004D0C5D"/>
    <w:rsid w:val="004E551A"/>
    <w:rsid w:val="004F4CD9"/>
    <w:rsid w:val="005733C9"/>
    <w:rsid w:val="005A7343"/>
    <w:rsid w:val="0063311E"/>
    <w:rsid w:val="006779A8"/>
    <w:rsid w:val="00680AC1"/>
    <w:rsid w:val="00693BB1"/>
    <w:rsid w:val="006A6777"/>
    <w:rsid w:val="006B1F20"/>
    <w:rsid w:val="006D7B5E"/>
    <w:rsid w:val="00735D44"/>
    <w:rsid w:val="007744F5"/>
    <w:rsid w:val="00775188"/>
    <w:rsid w:val="00826ADC"/>
    <w:rsid w:val="00827ABB"/>
    <w:rsid w:val="008430F7"/>
    <w:rsid w:val="008643D3"/>
    <w:rsid w:val="0088621B"/>
    <w:rsid w:val="0089008E"/>
    <w:rsid w:val="008B71AC"/>
    <w:rsid w:val="008D35A9"/>
    <w:rsid w:val="008F1696"/>
    <w:rsid w:val="0091239C"/>
    <w:rsid w:val="00914B88"/>
    <w:rsid w:val="0098772A"/>
    <w:rsid w:val="009E6568"/>
    <w:rsid w:val="00A1240C"/>
    <w:rsid w:val="00A14B35"/>
    <w:rsid w:val="00A3583F"/>
    <w:rsid w:val="00A76A5B"/>
    <w:rsid w:val="00A973D7"/>
    <w:rsid w:val="00AA42B5"/>
    <w:rsid w:val="00AC6092"/>
    <w:rsid w:val="00AC7F91"/>
    <w:rsid w:val="00B1093C"/>
    <w:rsid w:val="00B34EC5"/>
    <w:rsid w:val="00CD543C"/>
    <w:rsid w:val="00CD5F32"/>
    <w:rsid w:val="00CE3CBB"/>
    <w:rsid w:val="00D03E47"/>
    <w:rsid w:val="00D3279D"/>
    <w:rsid w:val="00D67EC6"/>
    <w:rsid w:val="00DE0268"/>
    <w:rsid w:val="00E27577"/>
    <w:rsid w:val="00E37F21"/>
    <w:rsid w:val="00E62D04"/>
    <w:rsid w:val="00EC1C19"/>
    <w:rsid w:val="00F04586"/>
    <w:rsid w:val="00F04D1C"/>
    <w:rsid w:val="00F15A99"/>
    <w:rsid w:val="00F608AC"/>
    <w:rsid w:val="00FB64F1"/>
    <w:rsid w:val="00FC4DA2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1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hai/organisms/pseudomonas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pseudomona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://onlinelibrary.wiley.com/doi/10.1002/9780471729259.mc06e01s25/abstr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23</cp:revision>
  <cp:lastPrinted>2017-06-13T17:58:00Z</cp:lastPrinted>
  <dcterms:created xsi:type="dcterms:W3CDTF">2017-06-13T12:51:00Z</dcterms:created>
  <dcterms:modified xsi:type="dcterms:W3CDTF">2019-10-09T19:30:00Z</dcterms:modified>
</cp:coreProperties>
</file>