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77777777" w:rsidR="00F15A99" w:rsidRDefault="00F15A99"/>
    <w:p w14:paraId="6EB52F20" w14:textId="77777777" w:rsidR="009853C6" w:rsidRDefault="009853C6" w:rsidP="009853C6">
      <w:pPr>
        <w:ind w:left="720"/>
        <w:rPr>
          <w:rFonts w:eastAsia="Times New Roman" w:cstheme="minorHAnsi"/>
          <w:color w:val="454545"/>
          <w:shd w:val="clear" w:color="auto" w:fill="FFFFFF"/>
        </w:rPr>
      </w:pPr>
    </w:p>
    <w:p w14:paraId="37DDD4A3" w14:textId="77777777" w:rsidR="009853C6" w:rsidRDefault="009853C6" w:rsidP="009853C6">
      <w:pPr>
        <w:ind w:left="720"/>
        <w:rPr>
          <w:rFonts w:eastAsia="Times New Roman" w:cstheme="minorHAnsi"/>
          <w:color w:val="454545"/>
          <w:shd w:val="clear" w:color="auto" w:fill="FFFFFF"/>
        </w:rPr>
      </w:pPr>
    </w:p>
    <w:p w14:paraId="2B08EC36" w14:textId="77777777" w:rsidR="009853C6" w:rsidRDefault="009853C6" w:rsidP="009853C6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9853C6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5FE63A84" w14:textId="0EF012AB" w:rsidR="009853C6" w:rsidRDefault="009853C6" w:rsidP="009853C6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1E5FC6C0" w14:textId="2EB52D34" w:rsidR="009853C6" w:rsidRDefault="009853C6" w:rsidP="009853C6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D564E6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C131CB">
        <w:rPr>
          <w:rFonts w:eastAsia="Times New Roman" w:cstheme="minorHAnsi"/>
          <w:color w:val="454545"/>
          <w:shd w:val="clear" w:color="auto" w:fill="FFFFFF"/>
        </w:rPr>
        <w:t>registration</w:t>
      </w:r>
      <w:r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5B5883B2" w14:textId="77777777" w:rsidR="009853C6" w:rsidRDefault="009853C6" w:rsidP="009853C6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61A19CDB" w14:textId="6B5EA7EA" w:rsidR="009853C6" w:rsidRPr="000221AE" w:rsidRDefault="009853C6" w:rsidP="000221AE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0221AE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D564E6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100B7B24" w14:textId="77777777" w:rsidR="009853C6" w:rsidRPr="00923D90" w:rsidRDefault="009853C6" w:rsidP="009853C6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237FD80A" w14:textId="77777777" w:rsidR="009853C6" w:rsidRPr="009F46B5" w:rsidRDefault="009853C6" w:rsidP="009853C6">
      <w:pPr>
        <w:rPr>
          <w:rFonts w:cstheme="minorHAnsi"/>
          <w:b/>
        </w:rPr>
      </w:pPr>
    </w:p>
    <w:p w14:paraId="7A8FC7CE" w14:textId="77777777" w:rsidR="009853C6" w:rsidRPr="009F46B5" w:rsidRDefault="009853C6" w:rsidP="009853C6">
      <w:pPr>
        <w:rPr>
          <w:rFonts w:cstheme="minorHAnsi"/>
          <w:b/>
        </w:rPr>
      </w:pPr>
    </w:p>
    <w:p w14:paraId="78F1114F" w14:textId="77777777" w:rsidR="009853C6" w:rsidRPr="00923D90" w:rsidRDefault="009853C6" w:rsidP="009853C6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5331FE0E" w14:textId="77777777" w:rsidR="009853C6" w:rsidRPr="00923D90" w:rsidRDefault="009853C6" w:rsidP="009853C6">
      <w:pPr>
        <w:ind w:firstLine="720"/>
        <w:rPr>
          <w:rFonts w:cstheme="minorHAnsi"/>
          <w:b/>
        </w:rPr>
      </w:pPr>
    </w:p>
    <w:p w14:paraId="3FEC50C1" w14:textId="77777777" w:rsidR="009853C6" w:rsidRPr="00923D90" w:rsidRDefault="009853C6" w:rsidP="009853C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019EC131" w14:textId="788E95C9" w:rsidR="009853C6" w:rsidRPr="00D564E6" w:rsidRDefault="009853C6" w:rsidP="00D564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D564E6">
        <w:rPr>
          <w:rFonts w:cstheme="minorHAnsi"/>
          <w:b/>
        </w:rPr>
        <w:t xml:space="preserve"> </w:t>
      </w:r>
      <w:r w:rsidR="00D564E6" w:rsidRPr="00B25C21">
        <w:rPr>
          <w:rFonts w:cstheme="minorHAnsi"/>
          <w:b/>
        </w:rPr>
        <w:t>(such as strain-specific information). Please be sure that the track changes function is turned on to indicate</w:t>
      </w:r>
      <w:r w:rsidR="00D564E6">
        <w:rPr>
          <w:rFonts w:cstheme="minorHAnsi"/>
          <w:b/>
        </w:rPr>
        <w:t xml:space="preserve"> </w:t>
      </w:r>
      <w:r w:rsidR="00D564E6" w:rsidRPr="00B25C21">
        <w:rPr>
          <w:rFonts w:cstheme="minorHAnsi"/>
          <w:b/>
        </w:rPr>
        <w:t>any changes that you make.</w:t>
      </w:r>
    </w:p>
    <w:p w14:paraId="426620B5" w14:textId="5CAD1F17" w:rsidR="009853C6" w:rsidRDefault="009853C6" w:rsidP="009853C6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</w:t>
      </w:r>
      <w:r w:rsidR="00D564E6">
        <w:rPr>
          <w:rFonts w:cstheme="minorHAnsi"/>
          <w:b/>
        </w:rPr>
        <w:t xml:space="preserve">nstruct all </w:t>
      </w:r>
      <w:r>
        <w:rPr>
          <w:rFonts w:cstheme="minorHAnsi"/>
          <w:b/>
        </w:rPr>
        <w:t xml:space="preserve">personnel to review the BARD and sign the last page, indicating that they have </w:t>
      </w:r>
    </w:p>
    <w:p w14:paraId="6301AA87" w14:textId="77777777" w:rsidR="009853C6" w:rsidRDefault="009853C6" w:rsidP="009853C6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51F7DC20" w14:textId="57CA82BD" w:rsidR="009853C6" w:rsidRDefault="009853C6" w:rsidP="009853C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0221AE" w:rsidRPr="000221AE">
        <w:rPr>
          <w:rFonts w:cstheme="minorHAnsi"/>
          <w:b/>
        </w:rPr>
        <w:t>master protocol</w:t>
      </w:r>
      <w:r w:rsidR="000221AE">
        <w:rPr>
          <w:rFonts w:cstheme="minorHAnsi"/>
          <w:b/>
        </w:rPr>
        <w:t xml:space="preserve"> </w:t>
      </w:r>
      <w:r w:rsidR="00C131CB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54334E5A" w14:textId="77777777" w:rsidR="009853C6" w:rsidRDefault="009853C6" w:rsidP="009853C6">
      <w:pPr>
        <w:rPr>
          <w:rFonts w:cstheme="minorHAnsi"/>
          <w:b/>
        </w:rPr>
      </w:pPr>
    </w:p>
    <w:p w14:paraId="5FA7C368" w14:textId="77777777" w:rsidR="009853C6" w:rsidRDefault="009853C6" w:rsidP="009853C6">
      <w:pPr>
        <w:rPr>
          <w:rFonts w:cstheme="minorHAnsi"/>
          <w:b/>
        </w:rPr>
      </w:pPr>
    </w:p>
    <w:p w14:paraId="4200603F" w14:textId="77777777" w:rsidR="009853C6" w:rsidRDefault="009853C6" w:rsidP="009853C6">
      <w:pPr>
        <w:rPr>
          <w:rFonts w:cstheme="minorHAnsi"/>
          <w:b/>
        </w:rPr>
      </w:pPr>
    </w:p>
    <w:p w14:paraId="23792735" w14:textId="77777777" w:rsidR="009853C6" w:rsidRDefault="009853C6" w:rsidP="009853C6">
      <w:pPr>
        <w:rPr>
          <w:rFonts w:cstheme="minorHAnsi"/>
          <w:b/>
        </w:rPr>
      </w:pPr>
    </w:p>
    <w:p w14:paraId="79E1D951" w14:textId="77777777" w:rsidR="009853C6" w:rsidRDefault="009853C6" w:rsidP="009853C6">
      <w:pPr>
        <w:rPr>
          <w:rFonts w:cstheme="minorHAnsi"/>
          <w:b/>
        </w:rPr>
      </w:pPr>
    </w:p>
    <w:p w14:paraId="685AFA0D" w14:textId="77777777" w:rsidR="009853C6" w:rsidRDefault="009853C6" w:rsidP="009853C6">
      <w:pPr>
        <w:rPr>
          <w:rFonts w:cstheme="minorHAnsi"/>
          <w:b/>
        </w:rPr>
      </w:pPr>
    </w:p>
    <w:p w14:paraId="0537A7DB" w14:textId="77777777" w:rsidR="009853C6" w:rsidRDefault="009853C6" w:rsidP="009853C6">
      <w:pPr>
        <w:rPr>
          <w:rFonts w:cstheme="minorHAnsi"/>
          <w:b/>
        </w:rPr>
      </w:pPr>
    </w:p>
    <w:p w14:paraId="432F3BF3" w14:textId="77777777" w:rsidR="009853C6" w:rsidRDefault="009853C6" w:rsidP="009853C6">
      <w:pPr>
        <w:rPr>
          <w:rFonts w:cstheme="minorHAnsi"/>
          <w:b/>
        </w:rPr>
      </w:pPr>
    </w:p>
    <w:p w14:paraId="061BA662" w14:textId="77777777" w:rsidR="009853C6" w:rsidRDefault="009853C6" w:rsidP="009853C6">
      <w:pPr>
        <w:rPr>
          <w:rFonts w:cstheme="minorHAnsi"/>
          <w:b/>
        </w:rPr>
      </w:pPr>
    </w:p>
    <w:p w14:paraId="6DCAAD8E" w14:textId="77777777" w:rsidR="009853C6" w:rsidRDefault="009853C6" w:rsidP="009853C6">
      <w:pPr>
        <w:rPr>
          <w:rFonts w:cstheme="minorHAnsi"/>
          <w:b/>
        </w:rPr>
      </w:pPr>
    </w:p>
    <w:p w14:paraId="13710405" w14:textId="77777777" w:rsidR="009853C6" w:rsidRDefault="009853C6" w:rsidP="009853C6">
      <w:pPr>
        <w:rPr>
          <w:rFonts w:cstheme="minorHAnsi"/>
          <w:b/>
        </w:rPr>
      </w:pPr>
    </w:p>
    <w:p w14:paraId="71B3E8CA" w14:textId="77777777" w:rsidR="009853C6" w:rsidRDefault="009853C6" w:rsidP="009853C6">
      <w:pPr>
        <w:rPr>
          <w:rFonts w:cstheme="minorHAnsi"/>
          <w:b/>
        </w:rPr>
      </w:pPr>
    </w:p>
    <w:p w14:paraId="1DF67755" w14:textId="77777777" w:rsidR="009853C6" w:rsidRDefault="009853C6" w:rsidP="009853C6">
      <w:pPr>
        <w:rPr>
          <w:rFonts w:cstheme="minorHAnsi"/>
          <w:b/>
        </w:rPr>
      </w:pPr>
    </w:p>
    <w:p w14:paraId="134CCBBA" w14:textId="77777777" w:rsidR="009853C6" w:rsidRDefault="009853C6" w:rsidP="009853C6">
      <w:pPr>
        <w:rPr>
          <w:rFonts w:cstheme="minorHAnsi"/>
          <w:b/>
        </w:rPr>
      </w:pPr>
    </w:p>
    <w:p w14:paraId="04305BDE" w14:textId="77777777" w:rsidR="009853C6" w:rsidRDefault="009853C6" w:rsidP="009853C6">
      <w:pPr>
        <w:rPr>
          <w:rFonts w:cstheme="minorHAnsi"/>
          <w:b/>
        </w:rPr>
      </w:pPr>
    </w:p>
    <w:p w14:paraId="4E40F717" w14:textId="77777777" w:rsidR="009853C6" w:rsidRDefault="009853C6" w:rsidP="009853C6">
      <w:pPr>
        <w:rPr>
          <w:rFonts w:cstheme="minorHAnsi"/>
          <w:b/>
        </w:rPr>
      </w:pPr>
    </w:p>
    <w:p w14:paraId="2D5403F9" w14:textId="77777777" w:rsidR="009853C6" w:rsidRDefault="009853C6" w:rsidP="009853C6">
      <w:pPr>
        <w:rPr>
          <w:rFonts w:cstheme="minorHAnsi"/>
          <w:b/>
        </w:rPr>
      </w:pPr>
    </w:p>
    <w:p w14:paraId="0B294067" w14:textId="77777777" w:rsidR="009853C6" w:rsidRDefault="009853C6" w:rsidP="009853C6">
      <w:pPr>
        <w:rPr>
          <w:rFonts w:cstheme="minorHAnsi"/>
          <w:b/>
        </w:rPr>
      </w:pPr>
    </w:p>
    <w:p w14:paraId="489853D5" w14:textId="77777777" w:rsidR="009853C6" w:rsidRDefault="009853C6" w:rsidP="009853C6">
      <w:pPr>
        <w:rPr>
          <w:rFonts w:cstheme="minorHAnsi"/>
          <w:b/>
        </w:rPr>
      </w:pPr>
    </w:p>
    <w:p w14:paraId="16D4F6DC" w14:textId="77777777" w:rsidR="009853C6" w:rsidRDefault="009853C6" w:rsidP="009853C6">
      <w:pPr>
        <w:rPr>
          <w:rFonts w:cstheme="minorHAnsi"/>
          <w:b/>
        </w:rPr>
      </w:pPr>
    </w:p>
    <w:p w14:paraId="030F1FA8" w14:textId="77777777" w:rsidR="009853C6" w:rsidRPr="009853C6" w:rsidRDefault="009853C6" w:rsidP="009853C6">
      <w:pPr>
        <w:rPr>
          <w:rFonts w:cstheme="minorHAnsi"/>
          <w:b/>
        </w:rPr>
      </w:pPr>
    </w:p>
    <w:p w14:paraId="754824A1" w14:textId="77777777" w:rsidR="009853C6" w:rsidRDefault="009853C6"/>
    <w:p w14:paraId="6BB22986" w14:textId="77777777" w:rsidR="009853C6" w:rsidRDefault="009853C6"/>
    <w:p w14:paraId="7D2E27AE" w14:textId="77777777" w:rsidR="009853C6" w:rsidRDefault="009853C6">
      <w:pPr>
        <w:rPr>
          <w:b/>
          <w:caps/>
          <w:color w:val="FFFFFF" w:themeColor="background1"/>
          <w:sz w:val="20"/>
          <w:szCs w:val="20"/>
        </w:rPr>
        <w:sectPr w:rsidR="009853C6" w:rsidSect="009853C6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105A8F0A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2D43A67E" w:rsidR="00F15A99" w:rsidRDefault="00F0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Gram-positive, </w:t>
            </w:r>
            <w:r w:rsidR="00945C49">
              <w:rPr>
                <w:sz w:val="20"/>
                <w:szCs w:val="20"/>
              </w:rPr>
              <w:t xml:space="preserve">non-spore forming, </w:t>
            </w:r>
            <w:r>
              <w:rPr>
                <w:sz w:val="20"/>
                <w:szCs w:val="20"/>
              </w:rPr>
              <w:t>rod-shaped coccobacillus that has the ability to grow at a wide range of temperatures and pH values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4B9F717F" w:rsidR="00F15A99" w:rsidRDefault="00F0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human and animal cases caused by serovars 4b, 1/2b, and 1/2a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0392D210" w:rsidR="00F04586" w:rsidRDefault="00F0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Humans, other mammals, fish, crustaceans, insects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45981C43" w:rsidR="00F04586" w:rsidRDefault="00F0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Ingestion, transplacental</w:t>
            </w:r>
            <w:r w:rsidR="00EE32E9">
              <w:rPr>
                <w:sz w:val="20"/>
                <w:szCs w:val="20"/>
              </w:rPr>
              <w:t>, mucous membrane contact, contact with non-intact skin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46BB143F" w:rsidR="00A83174" w:rsidRPr="00A83174" w:rsidRDefault="00A83174" w:rsidP="0048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 is most common, but several manifestations may also include: </w:t>
            </w:r>
            <w:r w:rsidR="004822A3">
              <w:rPr>
                <w:sz w:val="20"/>
                <w:szCs w:val="20"/>
              </w:rPr>
              <w:t xml:space="preserve">chills, malaise, back pain, joint pain, </w:t>
            </w:r>
            <w:r w:rsidRPr="00A83174">
              <w:rPr>
                <w:sz w:val="20"/>
                <w:szCs w:val="20"/>
              </w:rPr>
              <w:t>stiffness of neck, tremor</w:t>
            </w:r>
            <w:r w:rsidR="004822A3">
              <w:rPr>
                <w:sz w:val="20"/>
                <w:szCs w:val="20"/>
              </w:rPr>
              <w:t>s</w:t>
            </w:r>
            <w:r w:rsidRPr="00A83174">
              <w:rPr>
                <w:sz w:val="20"/>
                <w:szCs w:val="20"/>
              </w:rPr>
              <w:t>, seizures</w:t>
            </w:r>
            <w:r>
              <w:rPr>
                <w:sz w:val="20"/>
                <w:szCs w:val="20"/>
              </w:rPr>
              <w:t xml:space="preserve">, </w:t>
            </w:r>
            <w:r w:rsidRPr="00A83174">
              <w:rPr>
                <w:sz w:val="20"/>
                <w:szCs w:val="20"/>
              </w:rPr>
              <w:t>diarrhea, vomiting</w:t>
            </w:r>
            <w:r>
              <w:rPr>
                <w:sz w:val="20"/>
                <w:szCs w:val="20"/>
              </w:rPr>
              <w:t xml:space="preserve">, </w:t>
            </w:r>
            <w:r w:rsidRPr="00A83174">
              <w:rPr>
                <w:sz w:val="20"/>
                <w:szCs w:val="20"/>
              </w:rPr>
              <w:t>swelling of salivary glands and lymph nodes</w:t>
            </w:r>
            <w:r>
              <w:rPr>
                <w:sz w:val="20"/>
                <w:szCs w:val="20"/>
              </w:rPr>
              <w:t>, papules or pustules on hands and arms, m</w:t>
            </w:r>
            <w:r w:rsidR="004822A3">
              <w:rPr>
                <w:sz w:val="20"/>
                <w:szCs w:val="20"/>
              </w:rPr>
              <w:t>uscle pain</w:t>
            </w:r>
            <w:r>
              <w:rPr>
                <w:sz w:val="20"/>
                <w:szCs w:val="20"/>
              </w:rPr>
              <w:t>, headache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0F9302D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750B2881" w:rsidR="00F04586" w:rsidRDefault="00F8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100 CFU</w:t>
            </w:r>
            <w:r w:rsidR="00BA07F8">
              <w:rPr>
                <w:sz w:val="20"/>
                <w:szCs w:val="20"/>
              </w:rPr>
              <w:t xml:space="preserve"> (colony forming units)</w:t>
            </w:r>
            <w:r>
              <w:rPr>
                <w:sz w:val="20"/>
                <w:szCs w:val="20"/>
              </w:rPr>
              <w:t xml:space="preserve"> in healthy host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7D9C2599" w:rsidR="00F04586" w:rsidRDefault="00A83174" w:rsidP="00F8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Highly variable. Febrile gastroenteritis may appear within 18 – 20 hours, other manifestations may appear </w:t>
            </w:r>
            <w:r w:rsidR="00F84230">
              <w:rPr>
                <w:sz w:val="20"/>
                <w:szCs w:val="20"/>
              </w:rPr>
              <w:t>within</w:t>
            </w:r>
            <w:r>
              <w:rPr>
                <w:sz w:val="20"/>
                <w:szCs w:val="20"/>
              </w:rPr>
              <w:t xml:space="preserve"> 1 – 4 weeks.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66EB1ECD" w:rsidR="00D67EC6" w:rsidRDefault="00F8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Ampicillin or amoxicillin together with the addition of gentamicin for immunocompromised individuals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679FB48C" w:rsidR="00D67EC6" w:rsidRDefault="00D67EC6" w:rsidP="0096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for symptoms and test </w:t>
            </w:r>
            <w:r w:rsidR="00967D18">
              <w:rPr>
                <w:sz w:val="20"/>
                <w:szCs w:val="20"/>
              </w:rPr>
              <w:t xml:space="preserve">by laboratory cultivation 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7CEB6454" w:rsidR="00D67EC6" w:rsidRDefault="00D67EC6" w:rsidP="00D87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751FA8">
              <w:rPr>
                <w:sz w:val="20"/>
                <w:szCs w:val="20"/>
              </w:rPr>
              <w:t xml:space="preserve"> or signs and symptoms to your supervisor</w:t>
            </w:r>
            <w:r w:rsidR="00D87B69">
              <w:rPr>
                <w:sz w:val="20"/>
                <w:szCs w:val="20"/>
              </w:rPr>
              <w:t>.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47FE189D" w:rsidR="00D67EC6" w:rsidRDefault="00D67EC6" w:rsidP="00D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who are pregnant or planning on becomin</w:t>
            </w:r>
            <w:r w:rsidR="004E641D">
              <w:rPr>
                <w:sz w:val="20"/>
                <w:szCs w:val="20"/>
              </w:rPr>
              <w:t xml:space="preserve">g pregnant should be aware that </w:t>
            </w:r>
            <w:r w:rsidR="004C0EEB">
              <w:rPr>
                <w:sz w:val="20"/>
                <w:szCs w:val="20"/>
              </w:rPr>
              <w:t xml:space="preserve">listeriosis during pregnancy can lead to loss of pregnancy, or severe illness or death of </w:t>
            </w:r>
            <w:r w:rsidR="00DD4817">
              <w:rPr>
                <w:sz w:val="20"/>
                <w:szCs w:val="20"/>
              </w:rPr>
              <w:t>neonates</w:t>
            </w:r>
            <w:r w:rsidR="004E641D">
              <w:rPr>
                <w:sz w:val="20"/>
                <w:szCs w:val="20"/>
              </w:rPr>
              <w:t>. Immunocompromised individuals</w:t>
            </w:r>
            <w:r w:rsidR="004C0EEB">
              <w:rPr>
                <w:sz w:val="20"/>
                <w:szCs w:val="20"/>
              </w:rPr>
              <w:t xml:space="preserve"> are also at an increased risk.</w:t>
            </w:r>
          </w:p>
        </w:tc>
      </w:tr>
    </w:tbl>
    <w:p w14:paraId="5D89E7DC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95"/>
        <w:tblW w:w="5737" w:type="dxa"/>
        <w:tblLook w:val="04A0" w:firstRow="1" w:lastRow="0" w:firstColumn="1" w:lastColumn="0" w:noHBand="0" w:noVBand="1"/>
      </w:tblPr>
      <w:tblGrid>
        <w:gridCol w:w="1431"/>
        <w:gridCol w:w="4306"/>
      </w:tblGrid>
      <w:tr w:rsidR="004C0EEB" w14:paraId="7D0011E4" w14:textId="77777777" w:rsidTr="004C0EEB">
        <w:tc>
          <w:tcPr>
            <w:tcW w:w="5737" w:type="dxa"/>
            <w:gridSpan w:val="2"/>
            <w:shd w:val="clear" w:color="auto" w:fill="538135" w:themeFill="accent6" w:themeFillShade="BF"/>
          </w:tcPr>
          <w:p w14:paraId="59286037" w14:textId="77777777" w:rsidR="004C0EEB" w:rsidRPr="005733C9" w:rsidRDefault="004C0EEB" w:rsidP="004C0EEB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4C0EEB" w14:paraId="56A1E901" w14:textId="77777777" w:rsidTr="004C0EEB">
        <w:trPr>
          <w:trHeight w:val="764"/>
        </w:trPr>
        <w:tc>
          <w:tcPr>
            <w:tcW w:w="1431" w:type="dxa"/>
          </w:tcPr>
          <w:p w14:paraId="06BB57F6" w14:textId="77777777" w:rsidR="004C0EEB" w:rsidRPr="00E37F21" w:rsidRDefault="004C0EEB" w:rsidP="004C0EEB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306" w:type="dxa"/>
          </w:tcPr>
          <w:p w14:paraId="5C2A1CDB" w14:textId="5C24D762" w:rsidR="004C0EEB" w:rsidRDefault="0062411C" w:rsidP="004C0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suspected cases, none of which have been confirmed</w:t>
            </w:r>
          </w:p>
        </w:tc>
      </w:tr>
      <w:tr w:rsidR="004C0EEB" w14:paraId="4FBDC03E" w14:textId="77777777" w:rsidTr="004C0EEB">
        <w:tc>
          <w:tcPr>
            <w:tcW w:w="1431" w:type="dxa"/>
          </w:tcPr>
          <w:p w14:paraId="1C74B756" w14:textId="77777777" w:rsidR="004C0EEB" w:rsidRPr="00E37F21" w:rsidRDefault="004C0EEB" w:rsidP="004C0EEB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06" w:type="dxa"/>
          </w:tcPr>
          <w:p w14:paraId="44AA2E44" w14:textId="7B0B0825" w:rsidR="004C0EEB" w:rsidRDefault="009B34C8" w:rsidP="009B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</w:t>
            </w:r>
            <w:r w:rsidR="00BE09F5">
              <w:rPr>
                <w:sz w:val="20"/>
                <w:szCs w:val="20"/>
              </w:rPr>
              <w:t>ood, cerebrospinal fluid</w:t>
            </w:r>
            <w:r w:rsidR="004E641D">
              <w:rPr>
                <w:sz w:val="20"/>
                <w:szCs w:val="20"/>
              </w:rPr>
              <w:t>, feces, skin lesions, i</w:t>
            </w:r>
            <w:r>
              <w:rPr>
                <w:sz w:val="20"/>
                <w:szCs w:val="20"/>
              </w:rPr>
              <w:t>nfected organs, tissues, and body fluids from human or animal specimens</w:t>
            </w:r>
            <w:r w:rsidR="004E641D">
              <w:rPr>
                <w:sz w:val="20"/>
                <w:szCs w:val="20"/>
              </w:rPr>
              <w:t>, contaminated foods, or laboratory cultures</w:t>
            </w:r>
          </w:p>
        </w:tc>
      </w:tr>
    </w:tbl>
    <w:p w14:paraId="359DAFA0" w14:textId="77777777" w:rsidR="004C0EEB" w:rsidRDefault="004C0EEB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4C0EEB" w14:paraId="7326FC39" w14:textId="77777777" w:rsidTr="004C0EEB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DB6946" w14:paraId="3295084F" w14:textId="77777777" w:rsidTr="00DB6946">
        <w:tc>
          <w:tcPr>
            <w:tcW w:w="153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5706CE7E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</w:t>
            </w:r>
            <w:r w:rsidR="00DB6946">
              <w:rPr>
                <w:sz w:val="20"/>
                <w:szCs w:val="20"/>
              </w:rPr>
              <w:t>fected clinical samples and</w:t>
            </w:r>
            <w:r>
              <w:rPr>
                <w:sz w:val="20"/>
                <w:szCs w:val="20"/>
              </w:rPr>
              <w:t xml:space="preserve"> cultures of laboratory adapted strains (RG2)</w:t>
            </w:r>
          </w:p>
        </w:tc>
      </w:tr>
      <w:tr w:rsidR="00DB6946" w14:paraId="50B71E50" w14:textId="77777777" w:rsidTr="00DB6946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2E92B173" w:rsidR="005733C9" w:rsidRDefault="005733C9">
            <w:pPr>
              <w:rPr>
                <w:sz w:val="20"/>
                <w:szCs w:val="20"/>
              </w:rPr>
            </w:pPr>
          </w:p>
        </w:tc>
      </w:tr>
      <w:tr w:rsidR="00DB6946" w14:paraId="449673AC" w14:textId="77777777" w:rsidTr="00DB6946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6F924076" w:rsidR="005733C9" w:rsidRDefault="00680AC1" w:rsidP="00DB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DB6946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DB6946" w14:paraId="48F1431D" w14:textId="77777777" w:rsidTr="00DB6946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3D84E6B0" w:rsidR="005733C9" w:rsidRDefault="005733C9">
            <w:pPr>
              <w:rPr>
                <w:sz w:val="20"/>
                <w:szCs w:val="20"/>
              </w:rPr>
            </w:pPr>
          </w:p>
        </w:tc>
      </w:tr>
      <w:tr w:rsidR="00DB6946" w14:paraId="6AFE6ACB" w14:textId="77777777" w:rsidTr="00DB6946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54540E83" w:rsidR="004F4CD9" w:rsidRDefault="004B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cell sorting, pipetting, pouring liquids, sonicating, loading syringes</w:t>
            </w:r>
          </w:p>
        </w:tc>
      </w:tr>
      <w:tr w:rsidR="00DB6946" w14:paraId="41CE5316" w14:textId="77777777" w:rsidTr="00DB6946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3B2C8C71" w:rsidR="00CD543C" w:rsidRDefault="00DB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aerosol-generating activities, large volumes, or high concentrations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4C0EEB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DB6946" w14:paraId="6057CB70" w14:textId="77777777" w:rsidTr="00DB6946">
        <w:tc>
          <w:tcPr>
            <w:tcW w:w="144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0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DB6946" w14:paraId="6F0C3BBB" w14:textId="77777777" w:rsidTr="00DB6946">
        <w:trPr>
          <w:trHeight w:val="521"/>
        </w:trPr>
        <w:tc>
          <w:tcPr>
            <w:tcW w:w="144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0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DB6946" w14:paraId="79348B75" w14:textId="77777777" w:rsidTr="00DB6946">
        <w:trPr>
          <w:trHeight w:val="548"/>
        </w:trPr>
        <w:tc>
          <w:tcPr>
            <w:tcW w:w="144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08" w:type="dxa"/>
          </w:tcPr>
          <w:p w14:paraId="482CC955" w14:textId="20E18D71" w:rsidR="00680AC1" w:rsidRDefault="0044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DB6946" w14:paraId="7AD6EA23" w14:textId="77777777" w:rsidTr="00DB6946">
        <w:tc>
          <w:tcPr>
            <w:tcW w:w="144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08" w:type="dxa"/>
          </w:tcPr>
          <w:p w14:paraId="6B7709DF" w14:textId="77777777" w:rsidR="004462F9" w:rsidRDefault="004462F9" w:rsidP="0044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50C29278" w14:textId="77777777" w:rsidR="004462F9" w:rsidRDefault="004462F9" w:rsidP="004462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5379D325" w14:textId="77777777" w:rsidR="004462F9" w:rsidRDefault="004462F9" w:rsidP="004462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65A16DEA" w:rsidR="00E06A84" w:rsidRPr="004462F9" w:rsidRDefault="004462F9" w:rsidP="004462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62F9"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FF1B96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3C02343E" w:rsidR="009E6568" w:rsidRDefault="00D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</w:t>
            </w:r>
            <w:r w:rsidR="005A7343">
              <w:rPr>
                <w:sz w:val="20"/>
                <w:szCs w:val="20"/>
              </w:rPr>
              <w:t xml:space="preserve">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2DE2BCBE" w14:textId="77777777" w:rsidR="004D10B7" w:rsidRDefault="00F608AC" w:rsidP="000D40BB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48069A4C" w:rsidR="009E6568" w:rsidRPr="00E37F21" w:rsidRDefault="004D10B7" w:rsidP="000D40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  <w:r w:rsidR="007419A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</w:tcPr>
          <w:p w14:paraId="3F8D51A6" w14:textId="5D6CB182" w:rsidR="00F608AC" w:rsidRDefault="00DB6946" w:rsidP="004D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Sharps use strictly limited</w:t>
            </w:r>
            <w:r w:rsidR="000D40BB">
              <w:rPr>
                <w:sz w:val="20"/>
                <w:szCs w:val="20"/>
              </w:rPr>
              <w:t xml:space="preserve">. 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3E1950" w14:textId="77777777" w:rsidR="009853C6" w:rsidRDefault="009853C6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1B33FCBB" w:rsidR="00E37F21" w:rsidRDefault="00881CB8" w:rsidP="00DB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room temperature:</w:t>
            </w:r>
            <w:r w:rsidR="00DB6946">
              <w:rPr>
                <w:sz w:val="20"/>
                <w:szCs w:val="20"/>
              </w:rPr>
              <w:t xml:space="preserve"> susceptible to</w:t>
            </w:r>
            <w:r w:rsidR="00E37F21">
              <w:rPr>
                <w:sz w:val="20"/>
                <w:szCs w:val="20"/>
              </w:rPr>
              <w:t xml:space="preserve"> </w:t>
            </w:r>
            <w:r w:rsidR="00D564E6">
              <w:rPr>
                <w:sz w:val="20"/>
                <w:szCs w:val="20"/>
              </w:rPr>
              <w:t>10% bleach</w:t>
            </w:r>
            <w:r w:rsidR="00E37F21">
              <w:rPr>
                <w:sz w:val="20"/>
                <w:szCs w:val="20"/>
              </w:rPr>
              <w:t xml:space="preserve">, </w:t>
            </w:r>
            <w:r w:rsidR="00DB6946">
              <w:rPr>
                <w:sz w:val="20"/>
                <w:szCs w:val="20"/>
              </w:rPr>
              <w:t xml:space="preserve">iodophor compounds, </w:t>
            </w:r>
            <w:r w:rsidR="00303DD6">
              <w:rPr>
                <w:sz w:val="20"/>
                <w:szCs w:val="20"/>
              </w:rPr>
              <w:t>70% alcohols; with 15-minute contact time</w:t>
            </w:r>
            <w:r w:rsidR="00DB6946">
              <w:rPr>
                <w:sz w:val="20"/>
                <w:szCs w:val="20"/>
              </w:rPr>
              <w:t>. Five to ten-fold</w:t>
            </w:r>
            <w:r w:rsidR="00BE09F5">
              <w:rPr>
                <w:sz w:val="20"/>
                <w:szCs w:val="20"/>
              </w:rPr>
              <w:t xml:space="preserve"> higher </w:t>
            </w:r>
            <w:r w:rsidR="00DB6946">
              <w:rPr>
                <w:sz w:val="20"/>
                <w:szCs w:val="20"/>
              </w:rPr>
              <w:t xml:space="preserve">concentrations </w:t>
            </w:r>
            <w:r w:rsidR="00BE09F5">
              <w:rPr>
                <w:sz w:val="20"/>
                <w:szCs w:val="20"/>
              </w:rPr>
              <w:t xml:space="preserve">of disinfectants </w:t>
            </w:r>
            <w:r w:rsidR="00DB6946">
              <w:rPr>
                <w:sz w:val="20"/>
                <w:szCs w:val="20"/>
              </w:rPr>
              <w:t>are required at 4</w:t>
            </w:r>
            <w:r w:rsidR="00D564E6">
              <w:rPr>
                <w:sz w:val="20"/>
                <w:szCs w:val="20"/>
              </w:rPr>
              <w:sym w:font="Symbol" w:char="F0B0"/>
            </w:r>
            <w:r w:rsidR="00DB6946">
              <w:rPr>
                <w:sz w:val="20"/>
                <w:szCs w:val="20"/>
              </w:rPr>
              <w:t>C</w:t>
            </w:r>
            <w:r w:rsidR="00BE09F5">
              <w:rPr>
                <w:sz w:val="20"/>
                <w:szCs w:val="20"/>
              </w:rPr>
              <w:t>.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706E195C" w:rsidR="00E37F21" w:rsidRDefault="00E37F21" w:rsidP="00DB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Inactivated by </w:t>
            </w:r>
            <w:r w:rsidR="00DB6946">
              <w:rPr>
                <w:sz w:val="20"/>
                <w:szCs w:val="20"/>
              </w:rPr>
              <w:t>temperatures above 70</w:t>
            </w:r>
            <w:r w:rsidR="00D564E6">
              <w:rPr>
                <w:sz w:val="20"/>
                <w:szCs w:val="20"/>
              </w:rPr>
              <w:sym w:font="Symbol" w:char="F0B0"/>
            </w:r>
            <w:r w:rsidR="00DB6946">
              <w:rPr>
                <w:sz w:val="20"/>
                <w:szCs w:val="20"/>
              </w:rPr>
              <w:t>C, pressure above 500 MPa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38E858CF" w:rsidR="00E37F21" w:rsidRDefault="00DB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Commonly found in soil, can tolerate cold temperatures, low pH, </w:t>
            </w:r>
            <w:r w:rsidR="004C7938">
              <w:rPr>
                <w:sz w:val="20"/>
                <w:szCs w:val="20"/>
              </w:rPr>
              <w:t>and is relatively heat resistant.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165"/>
        <w:gridCol w:w="4590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1137DE">
        <w:tc>
          <w:tcPr>
            <w:tcW w:w="1165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590" w:type="dxa"/>
          </w:tcPr>
          <w:p w14:paraId="32722808" w14:textId="59E01995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D564E6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1137DE">
        <w:trPr>
          <w:trHeight w:val="269"/>
        </w:trPr>
        <w:tc>
          <w:tcPr>
            <w:tcW w:w="1165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590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873" w:type="dxa"/>
        <w:tblLook w:val="04A0" w:firstRow="1" w:lastRow="0" w:firstColumn="1" w:lastColumn="0" w:noHBand="0" w:noVBand="1"/>
      </w:tblPr>
      <w:tblGrid>
        <w:gridCol w:w="11873"/>
      </w:tblGrid>
      <w:tr w:rsidR="00566BF2" w:rsidRPr="004A786C" w14:paraId="0D1D2274" w14:textId="77777777" w:rsidTr="00566BF2">
        <w:trPr>
          <w:trHeight w:val="323"/>
        </w:trPr>
        <w:tc>
          <w:tcPr>
            <w:tcW w:w="11873" w:type="dxa"/>
            <w:shd w:val="clear" w:color="auto" w:fill="538135" w:themeFill="accent6" w:themeFillShade="BF"/>
          </w:tcPr>
          <w:p w14:paraId="41E519D7" w14:textId="0BEF2251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566BF2">
              <w:rPr>
                <w:b/>
                <w:caps/>
                <w:color w:val="FFFFFF" w:themeColor="background1"/>
              </w:rPr>
              <w:t xml:space="preserve">                                                                     SIGNATURE                                                        DATE</w:t>
            </w:r>
          </w:p>
        </w:tc>
      </w:tr>
      <w:tr w:rsidR="00566BF2" w:rsidRPr="004A786C" w14:paraId="1785F972" w14:textId="77777777" w:rsidTr="00566BF2">
        <w:trPr>
          <w:trHeight w:val="257"/>
        </w:trPr>
        <w:tc>
          <w:tcPr>
            <w:tcW w:w="11873" w:type="dxa"/>
          </w:tcPr>
          <w:p w14:paraId="31BF6B59" w14:textId="77777777" w:rsidR="00775188" w:rsidRPr="004A786C" w:rsidRDefault="00775188" w:rsidP="00775188"/>
        </w:tc>
      </w:tr>
      <w:tr w:rsidR="00566BF2" w:rsidRPr="004A786C" w14:paraId="0959FE22" w14:textId="77777777" w:rsidTr="00566BF2">
        <w:trPr>
          <w:trHeight w:val="257"/>
        </w:trPr>
        <w:tc>
          <w:tcPr>
            <w:tcW w:w="11873" w:type="dxa"/>
          </w:tcPr>
          <w:p w14:paraId="09BF422A" w14:textId="77777777" w:rsidR="00775188" w:rsidRPr="004A786C" w:rsidRDefault="00775188" w:rsidP="00775188"/>
        </w:tc>
      </w:tr>
      <w:tr w:rsidR="00566BF2" w:rsidRPr="004A786C" w14:paraId="5E2D6C9C" w14:textId="77777777" w:rsidTr="00566BF2">
        <w:trPr>
          <w:trHeight w:val="257"/>
        </w:trPr>
        <w:tc>
          <w:tcPr>
            <w:tcW w:w="11873" w:type="dxa"/>
          </w:tcPr>
          <w:p w14:paraId="5C770CA8" w14:textId="77777777" w:rsidR="00775188" w:rsidRPr="004A786C" w:rsidRDefault="00775188" w:rsidP="00775188"/>
        </w:tc>
      </w:tr>
      <w:tr w:rsidR="00566BF2" w:rsidRPr="004A786C" w14:paraId="689896BF" w14:textId="77777777" w:rsidTr="00566BF2">
        <w:trPr>
          <w:trHeight w:val="257"/>
        </w:trPr>
        <w:tc>
          <w:tcPr>
            <w:tcW w:w="11873" w:type="dxa"/>
          </w:tcPr>
          <w:p w14:paraId="0FAC85E0" w14:textId="77777777" w:rsidR="00775188" w:rsidRPr="004A786C" w:rsidRDefault="00775188" w:rsidP="00775188"/>
        </w:tc>
      </w:tr>
      <w:tr w:rsidR="00566BF2" w:rsidRPr="004A786C" w14:paraId="57371DBA" w14:textId="77777777" w:rsidTr="00566BF2">
        <w:trPr>
          <w:trHeight w:val="257"/>
        </w:trPr>
        <w:tc>
          <w:tcPr>
            <w:tcW w:w="11873" w:type="dxa"/>
          </w:tcPr>
          <w:p w14:paraId="40DC1C51" w14:textId="77777777" w:rsidR="00775188" w:rsidRPr="004A786C" w:rsidRDefault="00775188" w:rsidP="00775188"/>
        </w:tc>
      </w:tr>
      <w:tr w:rsidR="00566BF2" w:rsidRPr="004A786C" w14:paraId="50FB741A" w14:textId="77777777" w:rsidTr="00566BF2">
        <w:trPr>
          <w:trHeight w:val="257"/>
        </w:trPr>
        <w:tc>
          <w:tcPr>
            <w:tcW w:w="11873" w:type="dxa"/>
          </w:tcPr>
          <w:p w14:paraId="787C3B4A" w14:textId="77777777" w:rsidR="00775188" w:rsidRPr="004A786C" w:rsidRDefault="00775188" w:rsidP="00775188"/>
        </w:tc>
      </w:tr>
      <w:tr w:rsidR="00566BF2" w:rsidRPr="004A786C" w14:paraId="14B6D0F1" w14:textId="77777777" w:rsidTr="00566BF2">
        <w:trPr>
          <w:trHeight w:val="257"/>
        </w:trPr>
        <w:tc>
          <w:tcPr>
            <w:tcW w:w="11873" w:type="dxa"/>
          </w:tcPr>
          <w:p w14:paraId="63C1967B" w14:textId="77777777" w:rsidR="00775188" w:rsidRPr="004A786C" w:rsidRDefault="00775188" w:rsidP="00775188"/>
        </w:tc>
      </w:tr>
      <w:tr w:rsidR="00566BF2" w:rsidRPr="004A786C" w14:paraId="261CD8E4" w14:textId="77777777" w:rsidTr="00566BF2">
        <w:trPr>
          <w:trHeight w:val="257"/>
        </w:trPr>
        <w:tc>
          <w:tcPr>
            <w:tcW w:w="11873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2368A422" w14:textId="77777777" w:rsidR="009853C6" w:rsidRPr="00DC0F42" w:rsidRDefault="009853C6" w:rsidP="009853C6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006D653A" w14:textId="77777777" w:rsidR="009853C6" w:rsidRDefault="009853C6" w:rsidP="009853C6">
      <w:pPr>
        <w:rPr>
          <w:sz w:val="20"/>
          <w:szCs w:val="20"/>
        </w:rPr>
      </w:pPr>
    </w:p>
    <w:p w14:paraId="7FD1105F" w14:textId="77777777" w:rsidR="009853C6" w:rsidRDefault="009853C6" w:rsidP="009853C6">
      <w:pPr>
        <w:rPr>
          <w:sz w:val="20"/>
          <w:szCs w:val="20"/>
        </w:rPr>
      </w:pPr>
    </w:p>
    <w:p w14:paraId="126E1676" w14:textId="77777777" w:rsidR="009853C6" w:rsidRDefault="009853C6" w:rsidP="009853C6">
      <w:pPr>
        <w:rPr>
          <w:sz w:val="20"/>
          <w:szCs w:val="20"/>
        </w:rPr>
      </w:pPr>
    </w:p>
    <w:p w14:paraId="246054F5" w14:textId="77777777" w:rsidR="009853C6" w:rsidRDefault="009853C6" w:rsidP="009853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1EA7F54D" w14:textId="77777777" w:rsidR="009853C6" w:rsidRDefault="009853C6" w:rsidP="009853C6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77777777" w:rsidR="00775188" w:rsidRDefault="00775188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4629A6DF" w14:textId="77777777" w:rsidR="00775188" w:rsidRDefault="00775188">
      <w:pPr>
        <w:rPr>
          <w:sz w:val="20"/>
          <w:szCs w:val="20"/>
        </w:rPr>
      </w:pPr>
    </w:p>
    <w:p w14:paraId="46F38331" w14:textId="77777777" w:rsidR="00775188" w:rsidRDefault="00775188">
      <w:pPr>
        <w:rPr>
          <w:sz w:val="20"/>
          <w:szCs w:val="20"/>
        </w:rPr>
      </w:pPr>
    </w:p>
    <w:p w14:paraId="62A52D55" w14:textId="77777777" w:rsidR="00775188" w:rsidRDefault="007751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0" w:tblpY="144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45776B" w14:paraId="4BE67E56" w14:textId="77777777" w:rsidTr="0045776B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1A83C342" w14:textId="77777777" w:rsidR="0045776B" w:rsidRPr="00266376" w:rsidRDefault="0045776B" w:rsidP="0045776B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45776B" w14:paraId="0CC66EDB" w14:textId="77777777" w:rsidTr="0045776B">
        <w:trPr>
          <w:trHeight w:val="349"/>
        </w:trPr>
        <w:tc>
          <w:tcPr>
            <w:tcW w:w="1345" w:type="dxa"/>
          </w:tcPr>
          <w:p w14:paraId="64898E65" w14:textId="77777777" w:rsidR="0045776B" w:rsidRDefault="0045776B" w:rsidP="0045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0C289AC7" w14:textId="77777777" w:rsidR="0045776B" w:rsidRDefault="00F11194" w:rsidP="0045776B">
            <w:pPr>
              <w:rPr>
                <w:sz w:val="20"/>
                <w:szCs w:val="20"/>
              </w:rPr>
            </w:pPr>
            <w:hyperlink r:id="rId11" w:history="1">
              <w:r w:rsidR="0045776B" w:rsidRPr="004E641D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https://www.canada.ca/en/public-health/services/laboratory-biosafety-biosecurity/pathogen-safety-data-sheets-risk-assessment/listeria-monocytogenes.html</w:t>
              </w:r>
            </w:hyperlink>
          </w:p>
        </w:tc>
      </w:tr>
      <w:tr w:rsidR="0045776B" w14:paraId="0E853252" w14:textId="77777777" w:rsidTr="0045776B">
        <w:trPr>
          <w:trHeight w:val="172"/>
        </w:trPr>
        <w:tc>
          <w:tcPr>
            <w:tcW w:w="1345" w:type="dxa"/>
          </w:tcPr>
          <w:p w14:paraId="339781A1" w14:textId="77777777" w:rsidR="0045776B" w:rsidRDefault="0045776B" w:rsidP="0045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654CE8F" w14:textId="77777777" w:rsidR="0045776B" w:rsidRDefault="00F11194" w:rsidP="0045776B">
            <w:pPr>
              <w:rPr>
                <w:sz w:val="20"/>
                <w:szCs w:val="20"/>
              </w:rPr>
            </w:pPr>
            <w:hyperlink r:id="rId12" w:history="1">
              <w:r w:rsidR="0045776B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45776B" w14:paraId="2B38781B" w14:textId="77777777" w:rsidTr="0045776B">
        <w:trPr>
          <w:trHeight w:val="358"/>
        </w:trPr>
        <w:tc>
          <w:tcPr>
            <w:tcW w:w="1345" w:type="dxa"/>
          </w:tcPr>
          <w:p w14:paraId="26E83C9F" w14:textId="77777777" w:rsidR="0045776B" w:rsidRDefault="0045776B" w:rsidP="0045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Guidelines </w:t>
            </w:r>
          </w:p>
        </w:tc>
        <w:tc>
          <w:tcPr>
            <w:tcW w:w="4160" w:type="dxa"/>
          </w:tcPr>
          <w:p w14:paraId="366A6885" w14:textId="77777777" w:rsidR="0045776B" w:rsidRDefault="00F11194" w:rsidP="0045776B">
            <w:pPr>
              <w:rPr>
                <w:sz w:val="20"/>
                <w:szCs w:val="20"/>
              </w:rPr>
            </w:pPr>
            <w:hyperlink r:id="rId13" w:history="1">
              <w:r w:rsidR="0045776B" w:rsidRPr="00266252">
                <w:rPr>
                  <w:rStyle w:val="Hyperlink"/>
                  <w:sz w:val="20"/>
                  <w:szCs w:val="20"/>
                </w:rPr>
                <w:t>https://www.cdc.gov/listeria/technical.html</w:t>
              </w:r>
            </w:hyperlink>
          </w:p>
        </w:tc>
      </w:tr>
      <w:tr w:rsidR="0045776B" w14:paraId="6D2EBB4A" w14:textId="77777777" w:rsidTr="0045776B">
        <w:trPr>
          <w:trHeight w:val="1252"/>
        </w:trPr>
        <w:tc>
          <w:tcPr>
            <w:tcW w:w="1345" w:type="dxa"/>
          </w:tcPr>
          <w:p w14:paraId="306469B8" w14:textId="77777777" w:rsidR="0045776B" w:rsidRDefault="0045776B" w:rsidP="0045776B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17387D61" w14:textId="77777777" w:rsidR="0045776B" w:rsidRDefault="0045776B" w:rsidP="0045776B">
            <w:pPr>
              <w:rPr>
                <w:sz w:val="20"/>
                <w:szCs w:val="20"/>
              </w:rPr>
            </w:pPr>
          </w:p>
        </w:tc>
      </w:tr>
    </w:tbl>
    <w:p w14:paraId="75C90837" w14:textId="77777777" w:rsidR="00775188" w:rsidRDefault="00775188">
      <w:pPr>
        <w:rPr>
          <w:sz w:val="20"/>
          <w:szCs w:val="20"/>
        </w:rPr>
      </w:pPr>
    </w:p>
    <w:p w14:paraId="3C4D2D3A" w14:textId="77777777" w:rsidR="00775188" w:rsidRDefault="00775188">
      <w:pPr>
        <w:rPr>
          <w:sz w:val="20"/>
          <w:szCs w:val="20"/>
        </w:rPr>
      </w:pPr>
    </w:p>
    <w:p w14:paraId="77CCDEA9" w14:textId="77777777" w:rsidR="00775188" w:rsidRDefault="00775188">
      <w:pPr>
        <w:rPr>
          <w:sz w:val="20"/>
          <w:szCs w:val="20"/>
        </w:rPr>
      </w:pPr>
    </w:p>
    <w:p w14:paraId="0986FC5F" w14:textId="77777777" w:rsidR="00775188" w:rsidRDefault="00775188">
      <w:pPr>
        <w:rPr>
          <w:sz w:val="20"/>
          <w:szCs w:val="20"/>
        </w:rPr>
      </w:pPr>
    </w:p>
    <w:p w14:paraId="1A8C8F79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02D1C444" w14:textId="77777777" w:rsidR="00775188" w:rsidRDefault="00775188">
      <w:pPr>
        <w:rPr>
          <w:sz w:val="20"/>
          <w:szCs w:val="20"/>
        </w:rPr>
      </w:pPr>
    </w:p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20E9D95D" w14:textId="77777777" w:rsidR="009853C6" w:rsidRDefault="009853C6">
      <w:pPr>
        <w:rPr>
          <w:sz w:val="20"/>
          <w:szCs w:val="20"/>
        </w:rPr>
      </w:pPr>
    </w:p>
    <w:p w14:paraId="46449050" w14:textId="77777777" w:rsidR="009853C6" w:rsidRDefault="009853C6">
      <w:pPr>
        <w:rPr>
          <w:sz w:val="20"/>
          <w:szCs w:val="20"/>
        </w:rPr>
      </w:pPr>
    </w:p>
    <w:p w14:paraId="4F612A7F" w14:textId="77777777" w:rsidR="009853C6" w:rsidRDefault="009853C6">
      <w:pPr>
        <w:rPr>
          <w:sz w:val="20"/>
          <w:szCs w:val="20"/>
        </w:rPr>
      </w:pPr>
    </w:p>
    <w:p w14:paraId="5DA83761" w14:textId="77777777" w:rsidR="009853C6" w:rsidRDefault="009853C6">
      <w:pPr>
        <w:rPr>
          <w:sz w:val="20"/>
          <w:szCs w:val="20"/>
        </w:rPr>
      </w:pPr>
    </w:p>
    <w:p w14:paraId="19617E00" w14:textId="77777777" w:rsidR="009853C6" w:rsidRDefault="009853C6">
      <w:pPr>
        <w:rPr>
          <w:sz w:val="20"/>
          <w:szCs w:val="20"/>
        </w:rPr>
      </w:pPr>
    </w:p>
    <w:p w14:paraId="21467E75" w14:textId="77777777" w:rsidR="009853C6" w:rsidRDefault="009853C6" w:rsidP="009853C6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86E0CB2" w14:textId="77777777" w:rsidR="009853C6" w:rsidRDefault="009853C6" w:rsidP="009853C6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6A775E4A" w14:textId="77777777" w:rsidR="0091239C" w:rsidRDefault="0091239C">
      <w:pPr>
        <w:rPr>
          <w:sz w:val="20"/>
          <w:szCs w:val="20"/>
        </w:rPr>
      </w:pP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853C6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FFF2" w14:textId="77777777" w:rsidR="00F11194" w:rsidRDefault="00F11194" w:rsidP="00F15A99">
      <w:r>
        <w:separator/>
      </w:r>
    </w:p>
  </w:endnote>
  <w:endnote w:type="continuationSeparator" w:id="0">
    <w:p w14:paraId="5910D7DA" w14:textId="77777777" w:rsidR="00F11194" w:rsidRDefault="00F11194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BAA6" w14:textId="76DF7D81" w:rsidR="009853C6" w:rsidRDefault="009853C6">
    <w:pPr>
      <w:pStyle w:val="Footer"/>
    </w:pPr>
    <w:r>
      <w:t xml:space="preserve">Principal Investigator: ___________________________________     IBC </w:t>
    </w:r>
    <w:r w:rsidR="00C131CB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2632" w14:textId="77777777" w:rsidR="00F11194" w:rsidRDefault="00F11194" w:rsidP="00F15A99">
      <w:r>
        <w:separator/>
      </w:r>
    </w:p>
  </w:footnote>
  <w:footnote w:type="continuationSeparator" w:id="0">
    <w:p w14:paraId="138785B9" w14:textId="77777777" w:rsidR="00F11194" w:rsidRDefault="00F11194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DAFA1DD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0D40BB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0D40BB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45D21D5F" w:rsidR="0088621B" w:rsidRDefault="00F84230" w:rsidP="00F84230">
    <w:pPr>
      <w:jc w:val="center"/>
    </w:pPr>
    <w:r>
      <w:t>Listeria monocytogenes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221AE"/>
    <w:rsid w:val="000530FB"/>
    <w:rsid w:val="00080F4C"/>
    <w:rsid w:val="000D40BB"/>
    <w:rsid w:val="00105D81"/>
    <w:rsid w:val="001137DE"/>
    <w:rsid w:val="0011612B"/>
    <w:rsid w:val="001406DC"/>
    <w:rsid w:val="001766DC"/>
    <w:rsid w:val="001C3B8D"/>
    <w:rsid w:val="00266252"/>
    <w:rsid w:val="00266376"/>
    <w:rsid w:val="00276713"/>
    <w:rsid w:val="002F493C"/>
    <w:rsid w:val="00303DD6"/>
    <w:rsid w:val="003357CA"/>
    <w:rsid w:val="00421A00"/>
    <w:rsid w:val="00432CB2"/>
    <w:rsid w:val="004462F9"/>
    <w:rsid w:val="0045776B"/>
    <w:rsid w:val="004822A3"/>
    <w:rsid w:val="004A5500"/>
    <w:rsid w:val="004A786C"/>
    <w:rsid w:val="004B454A"/>
    <w:rsid w:val="004C0EEB"/>
    <w:rsid w:val="004C7938"/>
    <w:rsid w:val="004D0C5D"/>
    <w:rsid w:val="004D10B7"/>
    <w:rsid w:val="004E641D"/>
    <w:rsid w:val="004F4CD9"/>
    <w:rsid w:val="00566BF2"/>
    <w:rsid w:val="005733C9"/>
    <w:rsid w:val="0059457B"/>
    <w:rsid w:val="005A4BDA"/>
    <w:rsid w:val="005A7343"/>
    <w:rsid w:val="0062411C"/>
    <w:rsid w:val="00673C5B"/>
    <w:rsid w:val="00680AC1"/>
    <w:rsid w:val="006C5969"/>
    <w:rsid w:val="007419A8"/>
    <w:rsid w:val="00751FA8"/>
    <w:rsid w:val="007712CF"/>
    <w:rsid w:val="007744F5"/>
    <w:rsid w:val="00775188"/>
    <w:rsid w:val="007D3943"/>
    <w:rsid w:val="00826ADC"/>
    <w:rsid w:val="008430F7"/>
    <w:rsid w:val="00881BF6"/>
    <w:rsid w:val="00881CB8"/>
    <w:rsid w:val="0088621B"/>
    <w:rsid w:val="0091239C"/>
    <w:rsid w:val="00914B88"/>
    <w:rsid w:val="00945C49"/>
    <w:rsid w:val="00967D18"/>
    <w:rsid w:val="009853C6"/>
    <w:rsid w:val="0098772A"/>
    <w:rsid w:val="009B34C8"/>
    <w:rsid w:val="009B7239"/>
    <w:rsid w:val="009E6568"/>
    <w:rsid w:val="00A4639F"/>
    <w:rsid w:val="00A83174"/>
    <w:rsid w:val="00AC4BE0"/>
    <w:rsid w:val="00AF1811"/>
    <w:rsid w:val="00B1093C"/>
    <w:rsid w:val="00B67F75"/>
    <w:rsid w:val="00BA07F8"/>
    <w:rsid w:val="00BD2448"/>
    <w:rsid w:val="00BE09F5"/>
    <w:rsid w:val="00C131CB"/>
    <w:rsid w:val="00C23C8B"/>
    <w:rsid w:val="00C2505F"/>
    <w:rsid w:val="00C4477F"/>
    <w:rsid w:val="00CD543C"/>
    <w:rsid w:val="00D564E6"/>
    <w:rsid w:val="00D67EC6"/>
    <w:rsid w:val="00D87B69"/>
    <w:rsid w:val="00DB6946"/>
    <w:rsid w:val="00DD4817"/>
    <w:rsid w:val="00E06A84"/>
    <w:rsid w:val="00E37F21"/>
    <w:rsid w:val="00E62D04"/>
    <w:rsid w:val="00EC7988"/>
    <w:rsid w:val="00EE32E9"/>
    <w:rsid w:val="00EE4F42"/>
    <w:rsid w:val="00EE6EFC"/>
    <w:rsid w:val="00F04586"/>
    <w:rsid w:val="00F052D0"/>
    <w:rsid w:val="00F11194"/>
    <w:rsid w:val="00F15A99"/>
    <w:rsid w:val="00F608AC"/>
    <w:rsid w:val="00F84230"/>
    <w:rsid w:val="00FB64F1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listeria/technical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listeria-monocytogen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34</cp:revision>
  <cp:lastPrinted>2017-06-13T17:58:00Z</cp:lastPrinted>
  <dcterms:created xsi:type="dcterms:W3CDTF">2017-06-13T12:51:00Z</dcterms:created>
  <dcterms:modified xsi:type="dcterms:W3CDTF">2019-10-09T19:28:00Z</dcterms:modified>
</cp:coreProperties>
</file>