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F321" w14:textId="5BDA432A" w:rsidR="009F46B5" w:rsidRDefault="009F46B5"/>
    <w:p w14:paraId="2A9F28F2" w14:textId="77777777" w:rsidR="009F46B5" w:rsidRDefault="009F46B5">
      <w:pPr>
        <w:rPr>
          <w:b/>
        </w:rPr>
      </w:pPr>
      <w:r w:rsidRPr="009F46B5">
        <w:rPr>
          <w:b/>
        </w:rPr>
        <w:tab/>
      </w:r>
    </w:p>
    <w:p w14:paraId="5348602F" w14:textId="77777777" w:rsidR="009F46B5" w:rsidRDefault="009F46B5" w:rsidP="009F46B5">
      <w:pPr>
        <w:rPr>
          <w:rFonts w:ascii="Arial" w:eastAsia="Times New Roman" w:hAnsi="Arial" w:cs="Arial"/>
          <w:color w:val="454545"/>
          <w:sz w:val="18"/>
          <w:szCs w:val="18"/>
          <w:shd w:val="clear" w:color="auto" w:fill="FFFFFF"/>
        </w:rPr>
        <w:sectPr w:rsidR="009F46B5" w:rsidSect="0091239C">
          <w:headerReference w:type="default" r:id="rId7"/>
          <w:footerReference w:type="default" r:id="rId8"/>
          <w:pgSz w:w="12240" w:h="15840"/>
          <w:pgMar w:top="216" w:right="245" w:bottom="245" w:left="216" w:header="144" w:footer="144" w:gutter="0"/>
          <w:cols w:num="2" w:space="720" w:equalWidth="0">
            <w:col w:w="5544" w:space="720"/>
            <w:col w:w="5515"/>
          </w:cols>
          <w:docGrid w:linePitch="360"/>
        </w:sectPr>
      </w:pPr>
    </w:p>
    <w:p w14:paraId="255BEECC" w14:textId="77777777" w:rsidR="001D427C" w:rsidRDefault="009F46B5" w:rsidP="001D427C">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 xml:space="preserve">The Biohazardous Agent Reference Document (BARD) is a </w:t>
      </w:r>
      <w:r w:rsidR="001D427C">
        <w:rPr>
          <w:rFonts w:eastAsia="Times New Roman" w:cstheme="minorHAnsi"/>
          <w:color w:val="454545"/>
          <w:shd w:val="clear" w:color="auto" w:fill="FFFFFF"/>
        </w:rPr>
        <w:t xml:space="preserve">general </w:t>
      </w:r>
      <w:r w:rsidRPr="009F46B5">
        <w:rPr>
          <w:rFonts w:eastAsia="Times New Roman" w:cstheme="minorHAnsi"/>
          <w:color w:val="454545"/>
          <w:shd w:val="clear" w:color="auto" w:fill="FFFFFF"/>
        </w:rPr>
        <w:t xml:space="preserve">guidance resource that reviews and summarizes the nature of a pathogen or biotoxin, and offers safety requirements for work with the agent </w:t>
      </w:r>
    </w:p>
    <w:p w14:paraId="7E0FD7C6" w14:textId="2CE6B4D3" w:rsidR="00923D90" w:rsidRDefault="009F46B5" w:rsidP="001D427C">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in the laboratory.</w:t>
      </w:r>
      <w:r w:rsidRPr="00923D90">
        <w:rPr>
          <w:rFonts w:eastAsia="Times New Roman" w:cstheme="minorHAnsi"/>
          <w:color w:val="454545"/>
          <w:shd w:val="clear" w:color="auto" w:fill="FFFFFF"/>
        </w:rPr>
        <w:t xml:space="preserve"> </w:t>
      </w:r>
      <w:r w:rsidR="00923D90">
        <w:rPr>
          <w:rFonts w:eastAsia="Times New Roman" w:cstheme="minorHAnsi"/>
          <w:color w:val="454545"/>
          <w:shd w:val="clear" w:color="auto" w:fill="FFFFFF"/>
        </w:rPr>
        <w:t xml:space="preserve">The BARD </w:t>
      </w:r>
      <w:r w:rsidR="004A5652">
        <w:rPr>
          <w:rFonts w:eastAsia="Times New Roman" w:cstheme="minorHAnsi"/>
          <w:color w:val="454545"/>
          <w:shd w:val="clear" w:color="auto" w:fill="FFFFFF"/>
        </w:rPr>
        <w:t>may</w:t>
      </w:r>
      <w:r w:rsidR="00923D90">
        <w:rPr>
          <w:rFonts w:eastAsia="Times New Roman" w:cstheme="minorHAnsi"/>
          <w:color w:val="454545"/>
          <w:shd w:val="clear" w:color="auto" w:fill="FFFFFF"/>
        </w:rPr>
        <w:t xml:space="preserve"> replace the formal SOPs used in conjunction with some IBC </w:t>
      </w:r>
      <w:r w:rsidR="00362BAA">
        <w:rPr>
          <w:rFonts w:eastAsia="Times New Roman" w:cstheme="minorHAnsi"/>
          <w:color w:val="454545"/>
          <w:shd w:val="clear" w:color="auto" w:fill="FFFFFF"/>
        </w:rPr>
        <w:t>registration</w:t>
      </w:r>
      <w:r w:rsidR="00923D90">
        <w:rPr>
          <w:rFonts w:eastAsia="Times New Roman" w:cstheme="minorHAnsi"/>
          <w:color w:val="454545"/>
          <w:shd w:val="clear" w:color="auto" w:fill="FFFFFF"/>
        </w:rPr>
        <w:t xml:space="preserve">s. </w:t>
      </w:r>
    </w:p>
    <w:p w14:paraId="60E11C27" w14:textId="77777777" w:rsidR="00923D90" w:rsidRDefault="00923D90" w:rsidP="00923D90">
      <w:pPr>
        <w:ind w:firstLine="720"/>
        <w:rPr>
          <w:rFonts w:eastAsia="Times New Roman" w:cstheme="minorHAnsi"/>
          <w:color w:val="454545"/>
          <w:shd w:val="clear" w:color="auto" w:fill="FFFFFF"/>
        </w:rPr>
      </w:pPr>
    </w:p>
    <w:p w14:paraId="4FD00A7A" w14:textId="48CF3699" w:rsidR="00923D90" w:rsidRPr="00B53671" w:rsidRDefault="00923D90" w:rsidP="00B53671">
      <w:pPr>
        <w:ind w:left="720"/>
        <w:rPr>
          <w:rFonts w:cstheme="minorHAnsi"/>
          <w:color w:val="454545"/>
          <w:shd w:val="clear" w:color="auto" w:fill="FFFFFF"/>
        </w:rPr>
      </w:pPr>
      <w:r w:rsidRPr="00923D90">
        <w:rPr>
          <w:rFonts w:cstheme="minorHAnsi"/>
          <w:color w:val="454545"/>
          <w:shd w:val="clear" w:color="auto" w:fill="FFFFFF"/>
        </w:rPr>
        <w:t>The BARD is provided as an additional guidance tool, and is not a substitute for a risk assessment, biosafety training, lab-specific training, or a formal </w:t>
      </w:r>
      <w:hyperlink r:id="rId9" w:tgtFrame="_blank" w:history="1">
        <w:r w:rsidR="00B53671">
          <w:rPr>
            <w:rStyle w:val="Hyperlink"/>
            <w:rFonts w:cstheme="minorHAnsi"/>
            <w:color w:val="0070C0"/>
            <w:shd w:val="clear" w:color="auto" w:fill="FFFFFF"/>
          </w:rPr>
          <w:t>IBC master protocol registration</w:t>
        </w:r>
      </w:hyperlink>
      <w:r w:rsidRPr="00923D90">
        <w:rPr>
          <w:rFonts w:cstheme="minorHAnsi"/>
          <w:color w:val="454545"/>
          <w:shd w:val="clear" w:color="auto" w:fill="FFFFFF"/>
        </w:rPr>
        <w:t xml:space="preserve">. This document should be readily available in the laboratory, and it is the responsibility of the Laboratory Supervisor or Principal Investigator to ensure that </w:t>
      </w:r>
      <w:r w:rsidR="000C38A1">
        <w:rPr>
          <w:rFonts w:cstheme="minorHAnsi"/>
          <w:color w:val="454545"/>
          <w:shd w:val="clear" w:color="auto" w:fill="FFFFFF"/>
        </w:rPr>
        <w:t xml:space="preserve">all </w:t>
      </w:r>
      <w:r w:rsidRPr="00923D90">
        <w:rPr>
          <w:rFonts w:cstheme="minorHAnsi"/>
          <w:color w:val="454545"/>
          <w:shd w:val="clear" w:color="auto" w:fill="FFFFFF"/>
        </w:rPr>
        <w:t>personnel have read, understood, and signed the document.</w:t>
      </w:r>
      <w:r>
        <w:rPr>
          <w:rFonts w:cstheme="minorHAnsi"/>
        </w:rPr>
        <w:t xml:space="preserve"> </w:t>
      </w:r>
      <w:r w:rsidR="009F46B5" w:rsidRPr="00923D90">
        <w:rPr>
          <w:rFonts w:eastAsia="Times New Roman" w:cstheme="minorHAnsi"/>
          <w:color w:val="454545"/>
          <w:shd w:val="clear" w:color="auto" w:fill="FFFFFF"/>
        </w:rPr>
        <w:t>The BARD is for informational purposes only</w:t>
      </w:r>
      <w:r w:rsidRPr="00923D90">
        <w:rPr>
          <w:rFonts w:eastAsia="Times New Roman" w:cstheme="minorHAnsi"/>
          <w:color w:val="454545"/>
          <w:shd w:val="clear" w:color="auto" w:fill="FFFFFF"/>
        </w:rPr>
        <w:t xml:space="preserve">, </w:t>
      </w:r>
      <w:r w:rsidR="009F46B5" w:rsidRPr="00923D90">
        <w:rPr>
          <w:rFonts w:eastAsia="Times New Roman" w:cstheme="minorHAnsi"/>
          <w:color w:val="454545"/>
          <w:shd w:val="clear" w:color="auto" w:fill="FFFFFF"/>
        </w:rPr>
        <w:t xml:space="preserve">and is not intended to be a substitute for professional medical advice, diagnosis, or treatment. </w:t>
      </w:r>
    </w:p>
    <w:p w14:paraId="3BFC4AEF" w14:textId="7B2ECC53" w:rsidR="009F46B5" w:rsidRPr="00923D90" w:rsidRDefault="009F46B5" w:rsidP="00923D90">
      <w:pPr>
        <w:ind w:left="720"/>
        <w:rPr>
          <w:rFonts w:cstheme="minorHAnsi"/>
        </w:rPr>
      </w:pPr>
      <w:r w:rsidRPr="00923D90">
        <w:rPr>
          <w:rFonts w:eastAsia="Times New Roman" w:cstheme="minorHAnsi"/>
          <w:color w:val="454545"/>
          <w:shd w:val="clear" w:color="auto" w:fill="FFFFFF"/>
        </w:rPr>
        <w:t>Please consult a health care provider for any medical questions or concerns. </w:t>
      </w:r>
    </w:p>
    <w:p w14:paraId="413A3B4F" w14:textId="77777777" w:rsidR="009F46B5" w:rsidRPr="009F46B5" w:rsidRDefault="009F46B5">
      <w:pPr>
        <w:rPr>
          <w:rFonts w:cstheme="minorHAnsi"/>
          <w:b/>
        </w:rPr>
      </w:pPr>
    </w:p>
    <w:p w14:paraId="72022DEC" w14:textId="77777777" w:rsidR="009F46B5" w:rsidRPr="009F46B5" w:rsidRDefault="009F46B5">
      <w:pPr>
        <w:rPr>
          <w:rFonts w:cstheme="minorHAnsi"/>
          <w:b/>
        </w:rPr>
      </w:pPr>
    </w:p>
    <w:p w14:paraId="56B072D4" w14:textId="65AD7784" w:rsidR="00923D90" w:rsidRPr="00923D90" w:rsidRDefault="009F46B5" w:rsidP="00923D90">
      <w:pPr>
        <w:ind w:firstLine="720"/>
        <w:rPr>
          <w:rFonts w:cstheme="minorHAnsi"/>
          <w:b/>
          <w:u w:val="single"/>
        </w:rPr>
      </w:pPr>
      <w:r w:rsidRPr="00923D90">
        <w:rPr>
          <w:rFonts w:cstheme="minorHAnsi"/>
          <w:b/>
          <w:u w:val="single"/>
        </w:rPr>
        <w:t>INSTRUCTIONS</w:t>
      </w:r>
    </w:p>
    <w:p w14:paraId="2EBCDE3C" w14:textId="77777777" w:rsidR="00923D90" w:rsidRPr="00923D90" w:rsidRDefault="00923D90" w:rsidP="009F46B5">
      <w:pPr>
        <w:ind w:firstLine="720"/>
        <w:rPr>
          <w:rFonts w:cstheme="minorHAnsi"/>
          <w:b/>
        </w:rPr>
      </w:pPr>
    </w:p>
    <w:p w14:paraId="5D39706A" w14:textId="68670C95" w:rsidR="00923D90" w:rsidRPr="00923D90" w:rsidRDefault="00923D90" w:rsidP="00923D90">
      <w:pPr>
        <w:pStyle w:val="ListParagraph"/>
        <w:numPr>
          <w:ilvl w:val="0"/>
          <w:numId w:val="2"/>
        </w:numPr>
        <w:rPr>
          <w:rFonts w:cstheme="minorHAnsi"/>
          <w:b/>
        </w:rPr>
      </w:pPr>
      <w:r w:rsidRPr="00923D90">
        <w:rPr>
          <w:rFonts w:cstheme="minorHAnsi"/>
          <w:b/>
        </w:rPr>
        <w:t>Review the information contained in this document</w:t>
      </w:r>
      <w:r w:rsidR="001D427C">
        <w:rPr>
          <w:rFonts w:cstheme="minorHAnsi"/>
          <w:b/>
        </w:rPr>
        <w:t>.</w:t>
      </w:r>
    </w:p>
    <w:p w14:paraId="5578C92B" w14:textId="619FE396" w:rsidR="001D427C" w:rsidRPr="00395ADB" w:rsidRDefault="00923D90" w:rsidP="00395ADB">
      <w:pPr>
        <w:pStyle w:val="ListParagraph"/>
        <w:numPr>
          <w:ilvl w:val="0"/>
          <w:numId w:val="2"/>
        </w:numPr>
        <w:rPr>
          <w:rFonts w:cstheme="minorHAnsi"/>
          <w:b/>
        </w:rPr>
      </w:pPr>
      <w:r w:rsidRPr="00923D90">
        <w:rPr>
          <w:rFonts w:cstheme="minorHAnsi"/>
          <w:b/>
        </w:rPr>
        <w:t xml:space="preserve">Add any </w:t>
      </w:r>
      <w:r w:rsidR="001D427C">
        <w:rPr>
          <w:rFonts w:cstheme="minorHAnsi"/>
          <w:b/>
        </w:rPr>
        <w:t>necessary</w:t>
      </w:r>
      <w:r w:rsidRPr="00923D90">
        <w:rPr>
          <w:rFonts w:cstheme="minorHAnsi"/>
          <w:b/>
        </w:rPr>
        <w:t xml:space="preserve"> information that is specific to your work in the laboratory</w:t>
      </w:r>
      <w:r w:rsidR="002533BB">
        <w:rPr>
          <w:rFonts w:cstheme="minorHAnsi"/>
          <w:b/>
        </w:rPr>
        <w:t xml:space="preserve"> (such as strain-specific information)</w:t>
      </w:r>
      <w:r w:rsidR="001D427C">
        <w:rPr>
          <w:rFonts w:cstheme="minorHAnsi"/>
          <w:b/>
        </w:rPr>
        <w:t xml:space="preserve">. Please </w:t>
      </w:r>
      <w:r w:rsidR="002533BB">
        <w:rPr>
          <w:rFonts w:cstheme="minorHAnsi"/>
          <w:b/>
        </w:rPr>
        <w:t xml:space="preserve">be sure that the track changes function is turned on to indicate </w:t>
      </w:r>
      <w:r w:rsidR="001D427C" w:rsidRPr="00395ADB">
        <w:rPr>
          <w:rFonts w:cstheme="minorHAnsi"/>
          <w:b/>
        </w:rPr>
        <w:t>any changes that you make.</w:t>
      </w:r>
    </w:p>
    <w:p w14:paraId="77129587" w14:textId="4DEAE5B5" w:rsidR="00DC0F42" w:rsidRDefault="001D427C" w:rsidP="00923D90">
      <w:pPr>
        <w:pStyle w:val="ListParagraph"/>
        <w:numPr>
          <w:ilvl w:val="0"/>
          <w:numId w:val="2"/>
        </w:numPr>
        <w:rPr>
          <w:rFonts w:cstheme="minorHAnsi"/>
          <w:b/>
        </w:rPr>
      </w:pPr>
      <w:r>
        <w:rPr>
          <w:rFonts w:cstheme="minorHAnsi"/>
          <w:b/>
        </w:rPr>
        <w:t xml:space="preserve">Instruct all  personnel to review the BARD and sign the last page, indicating that they have </w:t>
      </w:r>
    </w:p>
    <w:p w14:paraId="7F863018" w14:textId="44EA5590" w:rsidR="001D427C" w:rsidRDefault="001D427C" w:rsidP="00DC0F42">
      <w:pPr>
        <w:pStyle w:val="ListParagraph"/>
        <w:ind w:left="1440"/>
        <w:rPr>
          <w:rFonts w:cstheme="minorHAnsi"/>
          <w:b/>
        </w:rPr>
      </w:pPr>
      <w:r>
        <w:rPr>
          <w:rFonts w:cstheme="minorHAnsi"/>
          <w:b/>
        </w:rPr>
        <w:t xml:space="preserve">read and understood </w:t>
      </w:r>
      <w:r w:rsidR="00DC0F42">
        <w:rPr>
          <w:rFonts w:cstheme="minorHAnsi"/>
          <w:b/>
        </w:rPr>
        <w:t>the information.</w:t>
      </w:r>
    </w:p>
    <w:p w14:paraId="3644D4F2" w14:textId="432FC678" w:rsidR="00923D90" w:rsidRDefault="00923D90" w:rsidP="00923D90">
      <w:pPr>
        <w:pStyle w:val="ListParagraph"/>
        <w:numPr>
          <w:ilvl w:val="0"/>
          <w:numId w:val="2"/>
        </w:numPr>
        <w:rPr>
          <w:rFonts w:cstheme="minorHAnsi"/>
          <w:b/>
        </w:rPr>
      </w:pPr>
      <w:r w:rsidRPr="00923D90">
        <w:rPr>
          <w:rFonts w:cstheme="minorHAnsi"/>
          <w:b/>
        </w:rPr>
        <w:t xml:space="preserve">Submit the BARD along with your </w:t>
      </w:r>
      <w:r w:rsidR="001D427C">
        <w:rPr>
          <w:rFonts w:cstheme="minorHAnsi"/>
          <w:b/>
        </w:rPr>
        <w:t xml:space="preserve">IBC </w:t>
      </w:r>
      <w:r w:rsidR="00B53671" w:rsidRPr="00B53671">
        <w:rPr>
          <w:rFonts w:cstheme="minorHAnsi"/>
          <w:b/>
        </w:rPr>
        <w:t>master protocol</w:t>
      </w:r>
      <w:r w:rsidR="00B53671">
        <w:rPr>
          <w:rFonts w:cstheme="minorHAnsi"/>
          <w:b/>
        </w:rPr>
        <w:t xml:space="preserve"> </w:t>
      </w:r>
      <w:r w:rsidR="00362BAA">
        <w:rPr>
          <w:rFonts w:cstheme="minorHAnsi"/>
          <w:b/>
        </w:rPr>
        <w:t>registration</w:t>
      </w:r>
      <w:r w:rsidRPr="00923D90">
        <w:rPr>
          <w:rFonts w:cstheme="minorHAnsi"/>
          <w:b/>
        </w:rPr>
        <w:t>, amendment, or continuing review</w:t>
      </w:r>
      <w:r w:rsidR="001D427C">
        <w:rPr>
          <w:rFonts w:cstheme="minorHAnsi"/>
          <w:b/>
        </w:rPr>
        <w:t>.</w:t>
      </w:r>
    </w:p>
    <w:p w14:paraId="4AC78947" w14:textId="77777777" w:rsidR="009F46B5" w:rsidRDefault="009F46B5">
      <w:pPr>
        <w:rPr>
          <w:b/>
        </w:rPr>
      </w:pPr>
    </w:p>
    <w:p w14:paraId="63EA4208" w14:textId="77777777" w:rsidR="009F46B5" w:rsidRDefault="009F46B5">
      <w:pPr>
        <w:rPr>
          <w:b/>
        </w:rPr>
      </w:pPr>
    </w:p>
    <w:p w14:paraId="58009629" w14:textId="77777777" w:rsidR="009F46B5" w:rsidRDefault="009F46B5">
      <w:pPr>
        <w:rPr>
          <w:b/>
        </w:rPr>
        <w:sectPr w:rsidR="009F46B5" w:rsidSect="009F46B5">
          <w:type w:val="continuous"/>
          <w:pgSz w:w="12240" w:h="15840"/>
          <w:pgMar w:top="216" w:right="245" w:bottom="245" w:left="216" w:header="144" w:footer="144" w:gutter="0"/>
          <w:cols w:space="720"/>
          <w:docGrid w:linePitch="360"/>
        </w:sectPr>
      </w:pPr>
    </w:p>
    <w:p w14:paraId="6AC036ED" w14:textId="1A9EC537" w:rsidR="009F46B5" w:rsidRPr="009F46B5" w:rsidRDefault="009F46B5">
      <w:pPr>
        <w:rPr>
          <w:b/>
        </w:rPr>
      </w:pPr>
      <w:r>
        <w:rPr>
          <w:b/>
        </w:rPr>
        <w:tab/>
      </w:r>
      <w:r w:rsidRPr="009F46B5">
        <w:rPr>
          <w:b/>
        </w:rPr>
        <w:br w:type="page"/>
      </w:r>
    </w:p>
    <w:p w14:paraId="65A090A7" w14:textId="77777777" w:rsidR="00F15A99" w:rsidRDefault="00F15A99"/>
    <w:tbl>
      <w:tblPr>
        <w:tblStyle w:val="TableGrid"/>
        <w:tblW w:w="5665" w:type="dxa"/>
        <w:tblLayout w:type="fixed"/>
        <w:tblLook w:val="04A0" w:firstRow="1" w:lastRow="0" w:firstColumn="1" w:lastColumn="0" w:noHBand="0" w:noVBand="1"/>
      </w:tblPr>
      <w:tblGrid>
        <w:gridCol w:w="1435"/>
        <w:gridCol w:w="4230"/>
      </w:tblGrid>
      <w:tr w:rsidR="005733C9" w14:paraId="06D12F2D" w14:textId="77777777" w:rsidTr="005733C9">
        <w:tc>
          <w:tcPr>
            <w:tcW w:w="5665" w:type="dxa"/>
            <w:gridSpan w:val="2"/>
            <w:shd w:val="clear" w:color="auto" w:fill="538135" w:themeFill="accent6" w:themeFillShade="BF"/>
          </w:tcPr>
          <w:p w14:paraId="07C40A70" w14:textId="77777777" w:rsidR="00F15A99" w:rsidRPr="00F15A99" w:rsidRDefault="00F15A99">
            <w:pPr>
              <w:rPr>
                <w:b/>
                <w:caps/>
                <w:color w:val="FFFFFF" w:themeColor="background1"/>
                <w:sz w:val="20"/>
                <w:szCs w:val="20"/>
              </w:rPr>
            </w:pPr>
            <w:r w:rsidRPr="00F15A99">
              <w:rPr>
                <w:b/>
                <w:caps/>
                <w:color w:val="FFFFFF" w:themeColor="background1"/>
                <w:sz w:val="20"/>
                <w:szCs w:val="20"/>
              </w:rPr>
              <w:t>Characteristics</w:t>
            </w:r>
          </w:p>
        </w:tc>
      </w:tr>
      <w:tr w:rsidR="005733C9" w14:paraId="191CC073" w14:textId="77777777" w:rsidTr="005733C9">
        <w:tc>
          <w:tcPr>
            <w:tcW w:w="1435" w:type="dxa"/>
          </w:tcPr>
          <w:p w14:paraId="220B8593" w14:textId="77777777" w:rsidR="00F15A99" w:rsidRPr="00F04586" w:rsidRDefault="00F15A99">
            <w:pPr>
              <w:rPr>
                <w:b/>
                <w:i/>
                <w:color w:val="000000" w:themeColor="text1"/>
                <w:sz w:val="20"/>
                <w:szCs w:val="20"/>
              </w:rPr>
            </w:pPr>
            <w:r w:rsidRPr="00F04586">
              <w:rPr>
                <w:b/>
                <w:i/>
                <w:color w:val="000000" w:themeColor="text1"/>
                <w:sz w:val="20"/>
                <w:szCs w:val="20"/>
              </w:rPr>
              <w:t>Morphology</w:t>
            </w:r>
          </w:p>
        </w:tc>
        <w:tc>
          <w:tcPr>
            <w:tcW w:w="4230" w:type="dxa"/>
          </w:tcPr>
          <w:p w14:paraId="2F102308" w14:textId="752BFA8B" w:rsidR="00C13ABF" w:rsidRDefault="00897CF1" w:rsidP="00C13ABF">
            <w:pPr>
              <w:rPr>
                <w:sz w:val="20"/>
                <w:szCs w:val="20"/>
              </w:rPr>
            </w:pPr>
            <w:r>
              <w:rPr>
                <w:sz w:val="20"/>
                <w:szCs w:val="20"/>
              </w:rPr>
              <w:t>Member of the Retrovirus family, enveloped virus.</w:t>
            </w:r>
          </w:p>
        </w:tc>
      </w:tr>
      <w:tr w:rsidR="005733C9" w14:paraId="4F4FD244" w14:textId="77777777" w:rsidTr="005733C9">
        <w:tc>
          <w:tcPr>
            <w:tcW w:w="1435" w:type="dxa"/>
          </w:tcPr>
          <w:p w14:paraId="7F0FCDBF" w14:textId="77777777" w:rsidR="00F15A99" w:rsidRPr="00F04586" w:rsidRDefault="00F15A99">
            <w:pPr>
              <w:rPr>
                <w:b/>
                <w:i/>
                <w:color w:val="000000" w:themeColor="text1"/>
                <w:sz w:val="20"/>
                <w:szCs w:val="20"/>
              </w:rPr>
            </w:pPr>
            <w:r w:rsidRPr="00F04586">
              <w:rPr>
                <w:b/>
                <w:i/>
                <w:color w:val="000000" w:themeColor="text1"/>
                <w:sz w:val="20"/>
                <w:szCs w:val="20"/>
              </w:rPr>
              <w:t>Strain Specific</w:t>
            </w:r>
          </w:p>
          <w:p w14:paraId="1C550DA7" w14:textId="77777777" w:rsidR="00F15A99" w:rsidRPr="00F15A99" w:rsidRDefault="00F15A99">
            <w:pPr>
              <w:rPr>
                <w:b/>
                <w:color w:val="000000" w:themeColor="text1"/>
                <w:sz w:val="20"/>
                <w:szCs w:val="20"/>
              </w:rPr>
            </w:pPr>
            <w:r w:rsidRPr="00F04586">
              <w:rPr>
                <w:b/>
                <w:i/>
                <w:color w:val="000000" w:themeColor="text1"/>
                <w:sz w:val="20"/>
                <w:szCs w:val="20"/>
              </w:rPr>
              <w:t>Characteristics</w:t>
            </w:r>
          </w:p>
        </w:tc>
        <w:tc>
          <w:tcPr>
            <w:tcW w:w="4230" w:type="dxa"/>
          </w:tcPr>
          <w:p w14:paraId="05F97D7D" w14:textId="474096A3" w:rsidR="00F15A99" w:rsidRDefault="00897CF1">
            <w:pPr>
              <w:rPr>
                <w:sz w:val="20"/>
                <w:szCs w:val="20"/>
              </w:rPr>
            </w:pPr>
            <w:r>
              <w:rPr>
                <w:sz w:val="20"/>
                <w:szCs w:val="20"/>
              </w:rPr>
              <w:t>Virus tropism may be altered by pseudotyping</w:t>
            </w:r>
          </w:p>
        </w:tc>
      </w:tr>
    </w:tbl>
    <w:p w14:paraId="44425AD6" w14:textId="77777777" w:rsidR="00F15A99" w:rsidRDefault="00F15A99">
      <w:pPr>
        <w:rPr>
          <w:sz w:val="20"/>
          <w:szCs w:val="20"/>
        </w:rPr>
      </w:pPr>
    </w:p>
    <w:tbl>
      <w:tblPr>
        <w:tblStyle w:val="TableGrid"/>
        <w:tblW w:w="5665" w:type="dxa"/>
        <w:tblLook w:val="04A0" w:firstRow="1" w:lastRow="0" w:firstColumn="1" w:lastColumn="0" w:noHBand="0" w:noVBand="1"/>
      </w:tblPr>
      <w:tblGrid>
        <w:gridCol w:w="1435"/>
        <w:gridCol w:w="4230"/>
      </w:tblGrid>
      <w:tr w:rsidR="00897CF1" w14:paraId="61819C12" w14:textId="77777777" w:rsidTr="00645944">
        <w:tc>
          <w:tcPr>
            <w:tcW w:w="5665" w:type="dxa"/>
            <w:gridSpan w:val="2"/>
            <w:shd w:val="clear" w:color="auto" w:fill="538135" w:themeFill="accent6" w:themeFillShade="BF"/>
          </w:tcPr>
          <w:p w14:paraId="780B3873" w14:textId="77777777" w:rsidR="00897CF1" w:rsidRPr="00F04586" w:rsidRDefault="00897CF1" w:rsidP="00645944">
            <w:pPr>
              <w:rPr>
                <w:b/>
                <w:caps/>
                <w:color w:val="FFFFFF" w:themeColor="background1"/>
                <w:sz w:val="20"/>
                <w:szCs w:val="20"/>
              </w:rPr>
            </w:pPr>
            <w:r>
              <w:rPr>
                <w:b/>
                <w:caps/>
                <w:color w:val="FFFFFF" w:themeColor="background1"/>
                <w:sz w:val="20"/>
                <w:szCs w:val="20"/>
              </w:rPr>
              <w:t>health hazards</w:t>
            </w:r>
          </w:p>
        </w:tc>
      </w:tr>
      <w:tr w:rsidR="00897CF1" w14:paraId="07AA774C" w14:textId="77777777" w:rsidTr="00645944">
        <w:tc>
          <w:tcPr>
            <w:tcW w:w="1435" w:type="dxa"/>
          </w:tcPr>
          <w:p w14:paraId="444D47F7" w14:textId="77777777" w:rsidR="00897CF1" w:rsidRPr="00F04586" w:rsidRDefault="00897CF1" w:rsidP="00645944">
            <w:pPr>
              <w:rPr>
                <w:b/>
                <w:i/>
                <w:sz w:val="20"/>
                <w:szCs w:val="20"/>
              </w:rPr>
            </w:pPr>
            <w:r w:rsidRPr="00F04586">
              <w:rPr>
                <w:b/>
                <w:i/>
                <w:sz w:val="20"/>
                <w:szCs w:val="20"/>
              </w:rPr>
              <w:t>Host Range</w:t>
            </w:r>
          </w:p>
        </w:tc>
        <w:tc>
          <w:tcPr>
            <w:tcW w:w="4230" w:type="dxa"/>
          </w:tcPr>
          <w:p w14:paraId="63CE9802" w14:textId="77777777" w:rsidR="00897CF1" w:rsidRDefault="00897CF1" w:rsidP="00645944">
            <w:pPr>
              <w:rPr>
                <w:sz w:val="20"/>
                <w:szCs w:val="20"/>
              </w:rPr>
            </w:pPr>
            <w:r>
              <w:rPr>
                <w:sz w:val="20"/>
                <w:szCs w:val="20"/>
              </w:rPr>
              <w:t>Humans</w:t>
            </w:r>
          </w:p>
        </w:tc>
      </w:tr>
      <w:tr w:rsidR="00897CF1" w14:paraId="1444BF59" w14:textId="77777777" w:rsidTr="00645944">
        <w:tc>
          <w:tcPr>
            <w:tcW w:w="1435" w:type="dxa"/>
          </w:tcPr>
          <w:p w14:paraId="31AF47AC" w14:textId="77777777" w:rsidR="00897CF1" w:rsidRPr="00F04586" w:rsidRDefault="00897CF1" w:rsidP="00645944">
            <w:pPr>
              <w:rPr>
                <w:b/>
                <w:i/>
                <w:sz w:val="20"/>
                <w:szCs w:val="20"/>
              </w:rPr>
            </w:pPr>
            <w:r w:rsidRPr="00F04586">
              <w:rPr>
                <w:b/>
                <w:i/>
                <w:sz w:val="20"/>
                <w:szCs w:val="20"/>
              </w:rPr>
              <w:t>Modes of Transmission</w:t>
            </w:r>
          </w:p>
        </w:tc>
        <w:tc>
          <w:tcPr>
            <w:tcW w:w="4230" w:type="dxa"/>
          </w:tcPr>
          <w:p w14:paraId="2C5D59A4" w14:textId="77777777" w:rsidR="00897CF1" w:rsidRDefault="00897CF1" w:rsidP="00645944">
            <w:pPr>
              <w:rPr>
                <w:sz w:val="20"/>
                <w:szCs w:val="20"/>
              </w:rPr>
            </w:pPr>
            <w:r>
              <w:rPr>
                <w:sz w:val="20"/>
                <w:szCs w:val="20"/>
              </w:rPr>
              <w:t>Blood-borne, mucous membrane contact, sexual contact</w:t>
            </w:r>
          </w:p>
        </w:tc>
      </w:tr>
      <w:tr w:rsidR="00897CF1" w14:paraId="2E60C761" w14:textId="77777777" w:rsidTr="00645944">
        <w:tc>
          <w:tcPr>
            <w:tcW w:w="1435" w:type="dxa"/>
          </w:tcPr>
          <w:p w14:paraId="2C6D79D9" w14:textId="77777777" w:rsidR="00897CF1" w:rsidRPr="00F04586" w:rsidRDefault="00897CF1" w:rsidP="00645944">
            <w:pPr>
              <w:rPr>
                <w:b/>
                <w:i/>
                <w:sz w:val="20"/>
                <w:szCs w:val="20"/>
              </w:rPr>
            </w:pPr>
            <w:r w:rsidRPr="00F04586">
              <w:rPr>
                <w:b/>
                <w:i/>
                <w:sz w:val="20"/>
                <w:szCs w:val="20"/>
              </w:rPr>
              <w:t>Signs and Symptoms</w:t>
            </w:r>
          </w:p>
        </w:tc>
        <w:tc>
          <w:tcPr>
            <w:tcW w:w="4230" w:type="dxa"/>
          </w:tcPr>
          <w:p w14:paraId="7EE83C5D" w14:textId="77777777" w:rsidR="00897CF1" w:rsidRDefault="00897CF1" w:rsidP="00645944">
            <w:pPr>
              <w:rPr>
                <w:sz w:val="20"/>
                <w:szCs w:val="20"/>
              </w:rPr>
            </w:pPr>
            <w:r>
              <w:rPr>
                <w:sz w:val="20"/>
                <w:szCs w:val="20"/>
              </w:rPr>
              <w:t xml:space="preserve">Early flu-like symptoms such as muscle or joint pain, diarrhea, nausea, vomiting, headache, enlarged lymph nodes, liver or spleen organomegaly, weight loss, neurological symptoms. </w:t>
            </w:r>
          </w:p>
        </w:tc>
      </w:tr>
      <w:tr w:rsidR="00897CF1" w14:paraId="020B9842" w14:textId="77777777" w:rsidTr="00645944">
        <w:tc>
          <w:tcPr>
            <w:tcW w:w="1435" w:type="dxa"/>
          </w:tcPr>
          <w:p w14:paraId="51CD9700" w14:textId="77777777" w:rsidR="00897CF1" w:rsidRPr="00D67EC6" w:rsidRDefault="00897CF1" w:rsidP="00645944">
            <w:pPr>
              <w:rPr>
                <w:b/>
                <w:i/>
                <w:sz w:val="20"/>
                <w:szCs w:val="20"/>
              </w:rPr>
            </w:pPr>
            <w:r w:rsidRPr="00D67EC6">
              <w:rPr>
                <w:b/>
                <w:i/>
                <w:sz w:val="20"/>
                <w:szCs w:val="20"/>
              </w:rPr>
              <w:t>Infectious Dose</w:t>
            </w:r>
          </w:p>
        </w:tc>
        <w:tc>
          <w:tcPr>
            <w:tcW w:w="4230" w:type="dxa"/>
          </w:tcPr>
          <w:p w14:paraId="5726AEC5" w14:textId="77777777" w:rsidR="00897CF1" w:rsidRDefault="00897CF1" w:rsidP="00645944">
            <w:pPr>
              <w:rPr>
                <w:sz w:val="20"/>
                <w:szCs w:val="20"/>
              </w:rPr>
            </w:pPr>
            <w:r>
              <w:rPr>
                <w:sz w:val="20"/>
                <w:szCs w:val="20"/>
              </w:rPr>
              <w:t>Unknown</w:t>
            </w:r>
          </w:p>
        </w:tc>
      </w:tr>
      <w:tr w:rsidR="00897CF1" w14:paraId="6F2C6556" w14:textId="77777777" w:rsidTr="00645944">
        <w:trPr>
          <w:trHeight w:val="206"/>
        </w:trPr>
        <w:tc>
          <w:tcPr>
            <w:tcW w:w="1435" w:type="dxa"/>
          </w:tcPr>
          <w:p w14:paraId="11DCC38B" w14:textId="77777777" w:rsidR="00897CF1" w:rsidRPr="00D67EC6" w:rsidRDefault="00897CF1" w:rsidP="00645944">
            <w:pPr>
              <w:rPr>
                <w:b/>
                <w:i/>
                <w:sz w:val="20"/>
                <w:szCs w:val="20"/>
              </w:rPr>
            </w:pPr>
            <w:r w:rsidRPr="00D67EC6">
              <w:rPr>
                <w:b/>
                <w:i/>
                <w:sz w:val="20"/>
                <w:szCs w:val="20"/>
              </w:rPr>
              <w:t>Incubation Period</w:t>
            </w:r>
          </w:p>
        </w:tc>
        <w:tc>
          <w:tcPr>
            <w:tcW w:w="4230" w:type="dxa"/>
          </w:tcPr>
          <w:p w14:paraId="5D465B60" w14:textId="77777777" w:rsidR="00897CF1" w:rsidRDefault="00897CF1" w:rsidP="00645944">
            <w:pPr>
              <w:rPr>
                <w:sz w:val="20"/>
                <w:szCs w:val="20"/>
              </w:rPr>
            </w:pPr>
            <w:r>
              <w:rPr>
                <w:sz w:val="20"/>
                <w:szCs w:val="20"/>
              </w:rPr>
              <w:t>Antibodies generally detectable in 1 – 3 months post-infection</w:t>
            </w:r>
          </w:p>
        </w:tc>
      </w:tr>
    </w:tbl>
    <w:p w14:paraId="74A84FD3" w14:textId="77777777" w:rsidR="00897CF1" w:rsidRDefault="00897CF1">
      <w:pPr>
        <w:rPr>
          <w:sz w:val="20"/>
          <w:szCs w:val="20"/>
        </w:rPr>
      </w:pPr>
    </w:p>
    <w:tbl>
      <w:tblPr>
        <w:tblStyle w:val="TableGrid"/>
        <w:tblW w:w="5665" w:type="dxa"/>
        <w:tblLook w:val="04A0" w:firstRow="1" w:lastRow="0" w:firstColumn="1" w:lastColumn="0" w:noHBand="0" w:noVBand="1"/>
      </w:tblPr>
      <w:tblGrid>
        <w:gridCol w:w="1435"/>
        <w:gridCol w:w="4230"/>
      </w:tblGrid>
      <w:tr w:rsidR="00897CF1" w14:paraId="49BEADBF" w14:textId="77777777" w:rsidTr="00645944">
        <w:tc>
          <w:tcPr>
            <w:tcW w:w="5665" w:type="dxa"/>
            <w:gridSpan w:val="2"/>
            <w:shd w:val="clear" w:color="auto" w:fill="538135" w:themeFill="accent6" w:themeFillShade="BF"/>
          </w:tcPr>
          <w:p w14:paraId="42E441D7" w14:textId="77777777" w:rsidR="00897CF1" w:rsidRPr="00D67EC6" w:rsidRDefault="00897CF1" w:rsidP="00645944">
            <w:pPr>
              <w:rPr>
                <w:b/>
                <w:caps/>
                <w:color w:val="FFFFFF" w:themeColor="background1"/>
                <w:sz w:val="20"/>
                <w:szCs w:val="20"/>
              </w:rPr>
            </w:pPr>
            <w:r>
              <w:rPr>
                <w:b/>
                <w:caps/>
                <w:color w:val="FFFFFF" w:themeColor="background1"/>
                <w:sz w:val="20"/>
                <w:szCs w:val="20"/>
              </w:rPr>
              <w:t>Medical precautions / treatment</w:t>
            </w:r>
          </w:p>
        </w:tc>
      </w:tr>
      <w:tr w:rsidR="00897CF1" w14:paraId="1444B316" w14:textId="77777777" w:rsidTr="00645944">
        <w:tc>
          <w:tcPr>
            <w:tcW w:w="1435" w:type="dxa"/>
          </w:tcPr>
          <w:p w14:paraId="331C4DA8" w14:textId="77777777" w:rsidR="00897CF1" w:rsidRPr="00D67EC6" w:rsidRDefault="00897CF1" w:rsidP="00645944">
            <w:pPr>
              <w:rPr>
                <w:b/>
                <w:i/>
                <w:sz w:val="20"/>
                <w:szCs w:val="20"/>
              </w:rPr>
            </w:pPr>
            <w:r w:rsidRPr="00D67EC6">
              <w:rPr>
                <w:b/>
                <w:i/>
                <w:sz w:val="20"/>
                <w:szCs w:val="20"/>
              </w:rPr>
              <w:t>Prophylaxis</w:t>
            </w:r>
          </w:p>
        </w:tc>
        <w:tc>
          <w:tcPr>
            <w:tcW w:w="4230" w:type="dxa"/>
          </w:tcPr>
          <w:p w14:paraId="5FDBF4A1" w14:textId="77777777" w:rsidR="00897CF1" w:rsidRDefault="00897CF1" w:rsidP="00645944">
            <w:pPr>
              <w:rPr>
                <w:sz w:val="20"/>
                <w:szCs w:val="20"/>
              </w:rPr>
            </w:pPr>
            <w:r>
              <w:rPr>
                <w:sz w:val="20"/>
                <w:szCs w:val="20"/>
              </w:rPr>
              <w:t>Post-exposure prophylaxis cocktail may prevent infection if started within 72 hours</w:t>
            </w:r>
          </w:p>
        </w:tc>
      </w:tr>
      <w:tr w:rsidR="00897CF1" w14:paraId="5804BB68" w14:textId="77777777" w:rsidTr="00645944">
        <w:tc>
          <w:tcPr>
            <w:tcW w:w="1435" w:type="dxa"/>
          </w:tcPr>
          <w:p w14:paraId="2A970A5E" w14:textId="77777777" w:rsidR="00897CF1" w:rsidRPr="00D67EC6" w:rsidRDefault="00897CF1" w:rsidP="00645944">
            <w:pPr>
              <w:rPr>
                <w:b/>
                <w:i/>
                <w:sz w:val="20"/>
                <w:szCs w:val="20"/>
              </w:rPr>
            </w:pPr>
            <w:r w:rsidRPr="00D67EC6">
              <w:rPr>
                <w:b/>
                <w:i/>
                <w:sz w:val="20"/>
                <w:szCs w:val="20"/>
              </w:rPr>
              <w:t>Vaccines</w:t>
            </w:r>
          </w:p>
        </w:tc>
        <w:tc>
          <w:tcPr>
            <w:tcW w:w="4230" w:type="dxa"/>
          </w:tcPr>
          <w:p w14:paraId="7F757489" w14:textId="77777777" w:rsidR="00897CF1" w:rsidRDefault="00897CF1" w:rsidP="00645944">
            <w:pPr>
              <w:rPr>
                <w:sz w:val="20"/>
                <w:szCs w:val="20"/>
              </w:rPr>
            </w:pPr>
            <w:r>
              <w:rPr>
                <w:sz w:val="20"/>
                <w:szCs w:val="20"/>
              </w:rPr>
              <w:t>None available</w:t>
            </w:r>
          </w:p>
        </w:tc>
      </w:tr>
      <w:tr w:rsidR="00897CF1" w14:paraId="34891320" w14:textId="77777777" w:rsidTr="00645944">
        <w:tc>
          <w:tcPr>
            <w:tcW w:w="1435" w:type="dxa"/>
          </w:tcPr>
          <w:p w14:paraId="48966690" w14:textId="77777777" w:rsidR="00897CF1" w:rsidRPr="00D67EC6" w:rsidRDefault="00897CF1" w:rsidP="00645944">
            <w:pPr>
              <w:rPr>
                <w:b/>
                <w:i/>
                <w:sz w:val="20"/>
                <w:szCs w:val="20"/>
              </w:rPr>
            </w:pPr>
            <w:r w:rsidRPr="00D67EC6">
              <w:rPr>
                <w:b/>
                <w:i/>
                <w:sz w:val="20"/>
                <w:szCs w:val="20"/>
              </w:rPr>
              <w:t>Treatment</w:t>
            </w:r>
          </w:p>
        </w:tc>
        <w:tc>
          <w:tcPr>
            <w:tcW w:w="4230" w:type="dxa"/>
          </w:tcPr>
          <w:p w14:paraId="4CE97DB9" w14:textId="77777777" w:rsidR="00897CF1" w:rsidRDefault="00897CF1" w:rsidP="00645944">
            <w:pPr>
              <w:rPr>
                <w:sz w:val="20"/>
                <w:szCs w:val="20"/>
              </w:rPr>
            </w:pPr>
            <w:r>
              <w:rPr>
                <w:sz w:val="20"/>
                <w:szCs w:val="20"/>
              </w:rPr>
              <w:t>No cure. Antiretroviral therapy is used to manage the chronic disease</w:t>
            </w:r>
          </w:p>
        </w:tc>
      </w:tr>
      <w:tr w:rsidR="00897CF1" w14:paraId="2778064A" w14:textId="77777777" w:rsidTr="00645944">
        <w:tc>
          <w:tcPr>
            <w:tcW w:w="1435" w:type="dxa"/>
          </w:tcPr>
          <w:p w14:paraId="09AF8234" w14:textId="77777777" w:rsidR="00897CF1" w:rsidRPr="00D67EC6" w:rsidRDefault="00897CF1" w:rsidP="00645944">
            <w:pPr>
              <w:rPr>
                <w:b/>
                <w:i/>
                <w:sz w:val="20"/>
                <w:szCs w:val="20"/>
              </w:rPr>
            </w:pPr>
            <w:r w:rsidRPr="00D67EC6">
              <w:rPr>
                <w:b/>
                <w:i/>
                <w:sz w:val="20"/>
                <w:szCs w:val="20"/>
              </w:rPr>
              <w:t>Surveillance</w:t>
            </w:r>
          </w:p>
        </w:tc>
        <w:tc>
          <w:tcPr>
            <w:tcW w:w="4230" w:type="dxa"/>
          </w:tcPr>
          <w:p w14:paraId="2D22B49F" w14:textId="77777777" w:rsidR="00897CF1" w:rsidRDefault="00897CF1" w:rsidP="00645944">
            <w:pPr>
              <w:rPr>
                <w:sz w:val="20"/>
                <w:szCs w:val="20"/>
              </w:rPr>
            </w:pPr>
            <w:r>
              <w:rPr>
                <w:sz w:val="20"/>
                <w:szCs w:val="20"/>
              </w:rPr>
              <w:t>Monitor for symptoms and test using serology and viral isolation</w:t>
            </w:r>
          </w:p>
        </w:tc>
      </w:tr>
      <w:tr w:rsidR="00897CF1" w14:paraId="313094FE" w14:textId="77777777" w:rsidTr="00645944">
        <w:tc>
          <w:tcPr>
            <w:tcW w:w="1435" w:type="dxa"/>
          </w:tcPr>
          <w:p w14:paraId="42960625" w14:textId="77777777" w:rsidR="00897CF1" w:rsidRPr="00D67EC6" w:rsidRDefault="00897CF1" w:rsidP="00645944">
            <w:pPr>
              <w:rPr>
                <w:b/>
                <w:i/>
                <w:sz w:val="20"/>
                <w:szCs w:val="20"/>
              </w:rPr>
            </w:pPr>
            <w:r w:rsidRPr="00D67EC6">
              <w:rPr>
                <w:b/>
                <w:i/>
                <w:sz w:val="20"/>
                <w:szCs w:val="20"/>
              </w:rPr>
              <w:t>UVM IBC Requirements</w:t>
            </w:r>
          </w:p>
        </w:tc>
        <w:tc>
          <w:tcPr>
            <w:tcW w:w="4230" w:type="dxa"/>
          </w:tcPr>
          <w:p w14:paraId="10769B4D" w14:textId="77777777" w:rsidR="00897CF1" w:rsidRDefault="00897CF1" w:rsidP="00645944">
            <w:pPr>
              <w:rPr>
                <w:sz w:val="20"/>
                <w:szCs w:val="20"/>
              </w:rPr>
            </w:pPr>
            <w:r>
              <w:rPr>
                <w:sz w:val="20"/>
                <w:szCs w:val="20"/>
              </w:rPr>
              <w:t>Report any exposures or signs and symptoms to your supervisor.</w:t>
            </w:r>
          </w:p>
        </w:tc>
      </w:tr>
      <w:tr w:rsidR="00897CF1" w14:paraId="54F925CD" w14:textId="77777777" w:rsidTr="00645944">
        <w:tc>
          <w:tcPr>
            <w:tcW w:w="1435" w:type="dxa"/>
          </w:tcPr>
          <w:p w14:paraId="2FD09AB5" w14:textId="77777777" w:rsidR="00897CF1" w:rsidRPr="00D67EC6" w:rsidRDefault="00897CF1" w:rsidP="00645944">
            <w:pPr>
              <w:rPr>
                <w:b/>
                <w:i/>
                <w:sz w:val="20"/>
                <w:szCs w:val="20"/>
              </w:rPr>
            </w:pPr>
            <w:r>
              <w:rPr>
                <w:b/>
                <w:i/>
                <w:sz w:val="20"/>
                <w:szCs w:val="20"/>
              </w:rPr>
              <w:t>Additional Medical Precautions</w:t>
            </w:r>
          </w:p>
        </w:tc>
        <w:tc>
          <w:tcPr>
            <w:tcW w:w="4230" w:type="dxa"/>
          </w:tcPr>
          <w:p w14:paraId="70CBE1B3" w14:textId="77777777" w:rsidR="00897CF1" w:rsidRDefault="00897CF1" w:rsidP="00645944">
            <w:pPr>
              <w:rPr>
                <w:sz w:val="20"/>
                <w:szCs w:val="20"/>
              </w:rPr>
            </w:pPr>
            <w:r>
              <w:rPr>
                <w:sz w:val="20"/>
                <w:szCs w:val="20"/>
              </w:rPr>
              <w:t xml:space="preserve">Women who are pregnant or planning on becoming pregnant should be aware that pregnant women infected with HIV can transmit the virus to their fetus during pregnancy, delivery, or breastfeeding. </w:t>
            </w:r>
          </w:p>
          <w:p w14:paraId="589E88F6" w14:textId="77777777" w:rsidR="00897CF1" w:rsidRDefault="00897CF1" w:rsidP="00645944">
            <w:pPr>
              <w:rPr>
                <w:sz w:val="20"/>
                <w:szCs w:val="20"/>
              </w:rPr>
            </w:pPr>
            <w:r>
              <w:rPr>
                <w:sz w:val="20"/>
                <w:szCs w:val="20"/>
              </w:rPr>
              <w:t xml:space="preserve">Follow UVM’s Exposure Control Plan for Bloodborne Pathogens:  </w:t>
            </w:r>
            <w:hyperlink r:id="rId10" w:anchor="ECP" w:history="1">
              <w:r w:rsidRPr="00FA4934">
                <w:rPr>
                  <w:rStyle w:val="Hyperlink"/>
                  <w:sz w:val="20"/>
                  <w:szCs w:val="20"/>
                </w:rPr>
                <w:t>http://www.uvm.edu/safety/lab/bloodborne-pathogens-and-exposure-control-plan - ECP</w:t>
              </w:r>
            </w:hyperlink>
          </w:p>
        </w:tc>
      </w:tr>
    </w:tbl>
    <w:p w14:paraId="25459419" w14:textId="77777777" w:rsidR="00F04586" w:rsidRDefault="00F04586">
      <w:pPr>
        <w:rPr>
          <w:sz w:val="20"/>
          <w:szCs w:val="20"/>
        </w:rPr>
      </w:pPr>
    </w:p>
    <w:tbl>
      <w:tblPr>
        <w:tblStyle w:val="TableGrid"/>
        <w:tblpPr w:leftFromText="180" w:rightFromText="180" w:vertAnchor="text" w:horzAnchor="page" w:tblpX="250" w:tblpY="-64"/>
        <w:tblW w:w="5661" w:type="dxa"/>
        <w:tblLook w:val="04A0" w:firstRow="1" w:lastRow="0" w:firstColumn="1" w:lastColumn="0" w:noHBand="0" w:noVBand="1"/>
      </w:tblPr>
      <w:tblGrid>
        <w:gridCol w:w="1431"/>
        <w:gridCol w:w="4230"/>
      </w:tblGrid>
      <w:tr w:rsidR="00897CF1" w14:paraId="5744C8E0" w14:textId="77777777" w:rsidTr="00645944">
        <w:tc>
          <w:tcPr>
            <w:tcW w:w="5661" w:type="dxa"/>
            <w:gridSpan w:val="2"/>
            <w:shd w:val="clear" w:color="auto" w:fill="538135" w:themeFill="accent6" w:themeFillShade="BF"/>
          </w:tcPr>
          <w:p w14:paraId="688BD3AF" w14:textId="77777777" w:rsidR="00897CF1" w:rsidRPr="005733C9" w:rsidRDefault="00897CF1" w:rsidP="00645944">
            <w:pPr>
              <w:rPr>
                <w:b/>
                <w:caps/>
                <w:color w:val="FFFFFF" w:themeColor="background1"/>
                <w:sz w:val="20"/>
                <w:szCs w:val="20"/>
              </w:rPr>
            </w:pPr>
            <w:r>
              <w:rPr>
                <w:b/>
                <w:caps/>
                <w:color w:val="FFFFFF" w:themeColor="background1"/>
                <w:sz w:val="20"/>
                <w:szCs w:val="20"/>
              </w:rPr>
              <w:t>laboratory hazards</w:t>
            </w:r>
          </w:p>
        </w:tc>
      </w:tr>
      <w:tr w:rsidR="00897CF1" w14:paraId="560E26CE" w14:textId="77777777" w:rsidTr="00645944">
        <w:tc>
          <w:tcPr>
            <w:tcW w:w="1431" w:type="dxa"/>
          </w:tcPr>
          <w:p w14:paraId="04DB0D39" w14:textId="77777777" w:rsidR="00897CF1" w:rsidRPr="00E37F21" w:rsidRDefault="00897CF1" w:rsidP="00645944">
            <w:pPr>
              <w:rPr>
                <w:b/>
                <w:i/>
                <w:sz w:val="20"/>
                <w:szCs w:val="20"/>
              </w:rPr>
            </w:pPr>
            <w:r w:rsidRPr="00E37F21">
              <w:rPr>
                <w:b/>
                <w:i/>
                <w:sz w:val="20"/>
                <w:szCs w:val="20"/>
              </w:rPr>
              <w:t>Laboratory Acquired Infections</w:t>
            </w:r>
          </w:p>
        </w:tc>
        <w:tc>
          <w:tcPr>
            <w:tcW w:w="4230" w:type="dxa"/>
          </w:tcPr>
          <w:p w14:paraId="629700FF" w14:textId="77777777" w:rsidR="00897CF1" w:rsidRDefault="00897CF1" w:rsidP="00645944">
            <w:pPr>
              <w:rPr>
                <w:sz w:val="20"/>
                <w:szCs w:val="20"/>
              </w:rPr>
            </w:pPr>
            <w:r>
              <w:rPr>
                <w:sz w:val="20"/>
                <w:szCs w:val="20"/>
              </w:rPr>
              <w:t>Numbers of lab-acquired infections are low, 57 cases documented of occupationally acquired infections as of 2001.</w:t>
            </w:r>
          </w:p>
        </w:tc>
      </w:tr>
      <w:tr w:rsidR="00897CF1" w14:paraId="24B63A7C" w14:textId="77777777" w:rsidTr="00645944">
        <w:tc>
          <w:tcPr>
            <w:tcW w:w="1431" w:type="dxa"/>
          </w:tcPr>
          <w:p w14:paraId="77F38373" w14:textId="77777777" w:rsidR="00897CF1" w:rsidRPr="00E37F21" w:rsidRDefault="00897CF1" w:rsidP="00645944">
            <w:pPr>
              <w:rPr>
                <w:b/>
                <w:i/>
                <w:sz w:val="20"/>
                <w:szCs w:val="20"/>
              </w:rPr>
            </w:pPr>
            <w:r w:rsidRPr="00E37F21">
              <w:rPr>
                <w:b/>
                <w:i/>
                <w:sz w:val="20"/>
                <w:szCs w:val="20"/>
              </w:rPr>
              <w:t>Sources</w:t>
            </w:r>
          </w:p>
        </w:tc>
        <w:tc>
          <w:tcPr>
            <w:tcW w:w="4230" w:type="dxa"/>
          </w:tcPr>
          <w:p w14:paraId="5406D214" w14:textId="59888D20" w:rsidR="00897CF1" w:rsidRDefault="00897CF1" w:rsidP="004A5652">
            <w:pPr>
              <w:rPr>
                <w:sz w:val="20"/>
                <w:szCs w:val="20"/>
              </w:rPr>
            </w:pPr>
            <w:r>
              <w:rPr>
                <w:sz w:val="20"/>
                <w:szCs w:val="20"/>
              </w:rPr>
              <w:t xml:space="preserve">Blood, semen, vaginal secretions, </w:t>
            </w:r>
            <w:r w:rsidR="004A5652">
              <w:rPr>
                <w:sz w:val="20"/>
                <w:szCs w:val="20"/>
              </w:rPr>
              <w:t>cerebrospinal fluid</w:t>
            </w:r>
            <w:r>
              <w:rPr>
                <w:sz w:val="20"/>
                <w:szCs w:val="20"/>
              </w:rPr>
              <w:t>, synovial fluid, peritoneal fluid, pleural fluid, pericardial fluid, amniotic fluid, other specimens containing blood, breast milk, unscreened or inadequately treated blood products, infected cells and tissues, laboratory cultures.</w:t>
            </w:r>
          </w:p>
        </w:tc>
      </w:tr>
    </w:tbl>
    <w:p w14:paraId="56239521" w14:textId="77777777" w:rsidR="00C13ABF" w:rsidRDefault="00C13ABF">
      <w:pPr>
        <w:rPr>
          <w:sz w:val="20"/>
          <w:szCs w:val="20"/>
        </w:rPr>
      </w:pPr>
    </w:p>
    <w:p w14:paraId="2E1CE63C" w14:textId="77777777" w:rsidR="00C13ABF" w:rsidRDefault="00C13ABF">
      <w:pPr>
        <w:rPr>
          <w:sz w:val="20"/>
          <w:szCs w:val="20"/>
        </w:rPr>
      </w:pPr>
    </w:p>
    <w:tbl>
      <w:tblPr>
        <w:tblStyle w:val="TableGrid"/>
        <w:tblW w:w="0" w:type="auto"/>
        <w:tblInd w:w="-275" w:type="dxa"/>
        <w:tblLook w:val="04A0" w:firstRow="1" w:lastRow="0" w:firstColumn="1" w:lastColumn="0" w:noHBand="0" w:noVBand="1"/>
      </w:tblPr>
      <w:tblGrid>
        <w:gridCol w:w="1530"/>
        <w:gridCol w:w="4250"/>
      </w:tblGrid>
      <w:tr w:rsidR="00897CF1" w14:paraId="68657377" w14:textId="77777777" w:rsidTr="00645944">
        <w:tc>
          <w:tcPr>
            <w:tcW w:w="5780" w:type="dxa"/>
            <w:gridSpan w:val="2"/>
            <w:shd w:val="clear" w:color="auto" w:fill="538135" w:themeFill="accent6" w:themeFillShade="BF"/>
          </w:tcPr>
          <w:p w14:paraId="553B8B8D" w14:textId="77777777" w:rsidR="00897CF1" w:rsidRPr="00680AC1" w:rsidRDefault="00897CF1" w:rsidP="00645944">
            <w:pPr>
              <w:rPr>
                <w:b/>
                <w:caps/>
                <w:color w:val="FFFFFF" w:themeColor="background1"/>
                <w:sz w:val="20"/>
                <w:szCs w:val="20"/>
              </w:rPr>
            </w:pPr>
            <w:r w:rsidRPr="00680AC1">
              <w:rPr>
                <w:b/>
                <w:caps/>
                <w:color w:val="FFFFFF" w:themeColor="background1"/>
                <w:sz w:val="20"/>
                <w:szCs w:val="20"/>
              </w:rPr>
              <w:t>Containment Requirements</w:t>
            </w:r>
          </w:p>
        </w:tc>
      </w:tr>
      <w:tr w:rsidR="00897CF1" w14:paraId="60798C11" w14:textId="77777777" w:rsidTr="00645944">
        <w:tc>
          <w:tcPr>
            <w:tcW w:w="1530" w:type="dxa"/>
          </w:tcPr>
          <w:p w14:paraId="170B94DE" w14:textId="77777777" w:rsidR="00897CF1" w:rsidRPr="00E37F21" w:rsidRDefault="00897CF1" w:rsidP="00645944">
            <w:pPr>
              <w:rPr>
                <w:b/>
                <w:i/>
                <w:sz w:val="20"/>
                <w:szCs w:val="20"/>
              </w:rPr>
            </w:pPr>
            <w:r w:rsidRPr="00E37F21">
              <w:rPr>
                <w:b/>
                <w:i/>
                <w:sz w:val="20"/>
                <w:szCs w:val="20"/>
              </w:rPr>
              <w:t xml:space="preserve">BSL </w:t>
            </w:r>
            <w:r>
              <w:rPr>
                <w:b/>
                <w:i/>
                <w:sz w:val="20"/>
                <w:szCs w:val="20"/>
              </w:rPr>
              <w:t>–</w:t>
            </w:r>
            <w:r w:rsidRPr="00E37F21">
              <w:rPr>
                <w:b/>
                <w:i/>
                <w:sz w:val="20"/>
                <w:szCs w:val="20"/>
              </w:rPr>
              <w:t xml:space="preserve"> 2</w:t>
            </w:r>
            <w:r>
              <w:rPr>
                <w:b/>
                <w:i/>
                <w:sz w:val="20"/>
                <w:szCs w:val="20"/>
              </w:rPr>
              <w:t>+</w:t>
            </w:r>
          </w:p>
        </w:tc>
        <w:tc>
          <w:tcPr>
            <w:tcW w:w="4250" w:type="dxa"/>
          </w:tcPr>
          <w:p w14:paraId="325ACD0F" w14:textId="77777777" w:rsidR="00897CF1" w:rsidRDefault="00897CF1" w:rsidP="00645944">
            <w:pPr>
              <w:rPr>
                <w:sz w:val="20"/>
                <w:szCs w:val="20"/>
              </w:rPr>
            </w:pPr>
            <w:r>
              <w:rPr>
                <w:sz w:val="20"/>
                <w:szCs w:val="20"/>
              </w:rPr>
              <w:t>Manipulation of known or potentially infected clinical samples and cell cultures of laboratory adapted strains (RG3)</w:t>
            </w:r>
          </w:p>
        </w:tc>
      </w:tr>
      <w:tr w:rsidR="00897CF1" w14:paraId="2C16E638" w14:textId="77777777" w:rsidTr="00645944">
        <w:tc>
          <w:tcPr>
            <w:tcW w:w="1530" w:type="dxa"/>
          </w:tcPr>
          <w:p w14:paraId="31FF5D4A" w14:textId="77777777" w:rsidR="00897CF1" w:rsidRPr="00E37F21" w:rsidRDefault="00897CF1" w:rsidP="00645944">
            <w:pPr>
              <w:rPr>
                <w:b/>
                <w:i/>
                <w:sz w:val="20"/>
                <w:szCs w:val="20"/>
              </w:rPr>
            </w:pPr>
            <w:r w:rsidRPr="00E37F21">
              <w:rPr>
                <w:b/>
                <w:i/>
                <w:sz w:val="20"/>
                <w:szCs w:val="20"/>
              </w:rPr>
              <w:t>BSL - 3</w:t>
            </w:r>
          </w:p>
        </w:tc>
        <w:tc>
          <w:tcPr>
            <w:tcW w:w="4250" w:type="dxa"/>
          </w:tcPr>
          <w:p w14:paraId="2CAAB60D" w14:textId="77777777" w:rsidR="00897CF1" w:rsidRDefault="00897CF1" w:rsidP="00645944">
            <w:pPr>
              <w:rPr>
                <w:sz w:val="20"/>
                <w:szCs w:val="20"/>
              </w:rPr>
            </w:pPr>
            <w:r>
              <w:rPr>
                <w:sz w:val="20"/>
                <w:szCs w:val="20"/>
              </w:rPr>
              <w:t>Manipulations involving high aerosol potential, high concentrations or volumes of virus (RG3).</w:t>
            </w:r>
          </w:p>
        </w:tc>
      </w:tr>
      <w:tr w:rsidR="00897CF1" w14:paraId="6F4624A6" w14:textId="77777777" w:rsidTr="00645944">
        <w:tc>
          <w:tcPr>
            <w:tcW w:w="1530" w:type="dxa"/>
          </w:tcPr>
          <w:p w14:paraId="058AAF7D" w14:textId="77777777" w:rsidR="00897CF1" w:rsidRPr="00E37F21" w:rsidRDefault="00897CF1" w:rsidP="00645944">
            <w:pPr>
              <w:rPr>
                <w:b/>
                <w:i/>
                <w:sz w:val="20"/>
                <w:szCs w:val="20"/>
              </w:rPr>
            </w:pPr>
            <w:r w:rsidRPr="00E37F21">
              <w:rPr>
                <w:b/>
                <w:i/>
                <w:sz w:val="20"/>
                <w:szCs w:val="20"/>
              </w:rPr>
              <w:t xml:space="preserve">ABSL </w:t>
            </w:r>
            <w:r>
              <w:rPr>
                <w:b/>
                <w:i/>
                <w:sz w:val="20"/>
                <w:szCs w:val="20"/>
              </w:rPr>
              <w:t>–</w:t>
            </w:r>
            <w:r w:rsidRPr="00E37F21">
              <w:rPr>
                <w:b/>
                <w:i/>
                <w:sz w:val="20"/>
                <w:szCs w:val="20"/>
              </w:rPr>
              <w:t xml:space="preserve"> 2</w:t>
            </w:r>
            <w:r>
              <w:rPr>
                <w:b/>
                <w:i/>
                <w:sz w:val="20"/>
                <w:szCs w:val="20"/>
              </w:rPr>
              <w:t>+</w:t>
            </w:r>
          </w:p>
        </w:tc>
        <w:tc>
          <w:tcPr>
            <w:tcW w:w="4250" w:type="dxa"/>
          </w:tcPr>
          <w:p w14:paraId="347B0A47" w14:textId="77777777" w:rsidR="00897CF1" w:rsidRDefault="00897CF1" w:rsidP="00645944">
            <w:pPr>
              <w:rPr>
                <w:sz w:val="20"/>
                <w:szCs w:val="20"/>
              </w:rPr>
            </w:pPr>
            <w:r>
              <w:rPr>
                <w:sz w:val="20"/>
                <w:szCs w:val="20"/>
              </w:rPr>
              <w:t>Work with animals infected with attenuated or laboratory adapted strains</w:t>
            </w:r>
          </w:p>
        </w:tc>
      </w:tr>
      <w:tr w:rsidR="00897CF1" w14:paraId="52C4474B" w14:textId="77777777" w:rsidTr="00645944">
        <w:tc>
          <w:tcPr>
            <w:tcW w:w="1530" w:type="dxa"/>
          </w:tcPr>
          <w:p w14:paraId="70F8F2DB" w14:textId="77777777" w:rsidR="00897CF1" w:rsidRPr="00E37F21" w:rsidRDefault="00897CF1" w:rsidP="00645944">
            <w:pPr>
              <w:rPr>
                <w:b/>
                <w:i/>
                <w:sz w:val="20"/>
                <w:szCs w:val="20"/>
              </w:rPr>
            </w:pPr>
            <w:r w:rsidRPr="00E37F21">
              <w:rPr>
                <w:b/>
                <w:i/>
                <w:sz w:val="20"/>
                <w:szCs w:val="20"/>
              </w:rPr>
              <w:t>ABSL - 3</w:t>
            </w:r>
          </w:p>
        </w:tc>
        <w:tc>
          <w:tcPr>
            <w:tcW w:w="4250" w:type="dxa"/>
          </w:tcPr>
          <w:p w14:paraId="1989B3D2" w14:textId="669AE3A2" w:rsidR="00897CF1" w:rsidRDefault="00897CF1" w:rsidP="004A5652">
            <w:pPr>
              <w:rPr>
                <w:sz w:val="20"/>
                <w:szCs w:val="20"/>
              </w:rPr>
            </w:pPr>
            <w:r>
              <w:rPr>
                <w:sz w:val="20"/>
                <w:szCs w:val="20"/>
              </w:rPr>
              <w:t xml:space="preserve">Work with infected </w:t>
            </w:r>
            <w:r w:rsidR="004A5652">
              <w:rPr>
                <w:sz w:val="20"/>
                <w:szCs w:val="20"/>
              </w:rPr>
              <w:t>non-human primates</w:t>
            </w:r>
          </w:p>
        </w:tc>
      </w:tr>
      <w:tr w:rsidR="00897CF1" w14:paraId="4AE530FC" w14:textId="77777777" w:rsidTr="00645944">
        <w:tc>
          <w:tcPr>
            <w:tcW w:w="1530" w:type="dxa"/>
          </w:tcPr>
          <w:p w14:paraId="4EEFF770" w14:textId="77777777" w:rsidR="00897CF1" w:rsidRPr="00E37F21" w:rsidRDefault="00897CF1" w:rsidP="00645944">
            <w:pPr>
              <w:rPr>
                <w:b/>
                <w:i/>
                <w:sz w:val="20"/>
                <w:szCs w:val="20"/>
              </w:rPr>
            </w:pPr>
            <w:r w:rsidRPr="00E37F21">
              <w:rPr>
                <w:b/>
                <w:i/>
                <w:sz w:val="20"/>
                <w:szCs w:val="20"/>
              </w:rPr>
              <w:t>Aerosol generating activities</w:t>
            </w:r>
          </w:p>
        </w:tc>
        <w:tc>
          <w:tcPr>
            <w:tcW w:w="4250" w:type="dxa"/>
          </w:tcPr>
          <w:p w14:paraId="66F472CE" w14:textId="77777777" w:rsidR="00897CF1" w:rsidRDefault="00897CF1" w:rsidP="00645944">
            <w:pPr>
              <w:rPr>
                <w:sz w:val="20"/>
                <w:szCs w:val="20"/>
              </w:rPr>
            </w:pPr>
            <w:r>
              <w:rPr>
                <w:sz w:val="20"/>
                <w:szCs w:val="20"/>
              </w:rPr>
              <w:t>Centrifugation, homogenizing, vortexing or stirring, changing of animal cages, cell sorting, pipetting, pouring liquids, sonicating, loading syringes</w:t>
            </w:r>
          </w:p>
        </w:tc>
      </w:tr>
      <w:tr w:rsidR="00897CF1" w14:paraId="7644E7B4" w14:textId="77777777" w:rsidTr="00645944">
        <w:tc>
          <w:tcPr>
            <w:tcW w:w="1530" w:type="dxa"/>
          </w:tcPr>
          <w:p w14:paraId="55951FD1" w14:textId="77777777" w:rsidR="00897CF1" w:rsidRPr="00E37F21" w:rsidRDefault="00897CF1" w:rsidP="00645944">
            <w:pPr>
              <w:rPr>
                <w:b/>
                <w:i/>
                <w:sz w:val="20"/>
                <w:szCs w:val="20"/>
              </w:rPr>
            </w:pPr>
            <w:r w:rsidRPr="00E37F21">
              <w:rPr>
                <w:b/>
                <w:i/>
                <w:sz w:val="20"/>
                <w:szCs w:val="20"/>
              </w:rPr>
              <w:t>Primary containment device (BSC)</w:t>
            </w:r>
          </w:p>
        </w:tc>
        <w:tc>
          <w:tcPr>
            <w:tcW w:w="4250" w:type="dxa"/>
          </w:tcPr>
          <w:p w14:paraId="54F280D2" w14:textId="77777777" w:rsidR="00897CF1" w:rsidRDefault="00897CF1" w:rsidP="00645944">
            <w:pPr>
              <w:rPr>
                <w:sz w:val="20"/>
                <w:szCs w:val="20"/>
              </w:rPr>
            </w:pPr>
            <w:r>
              <w:rPr>
                <w:sz w:val="20"/>
                <w:szCs w:val="20"/>
              </w:rPr>
              <w:t>Use for all activities with live virus, unloading centrifuge rotors, and aerosol-generating activities</w:t>
            </w:r>
          </w:p>
        </w:tc>
      </w:tr>
    </w:tbl>
    <w:p w14:paraId="6AA88686" w14:textId="77777777" w:rsidR="005733C9" w:rsidRDefault="005733C9">
      <w:pPr>
        <w:rPr>
          <w:sz w:val="20"/>
          <w:szCs w:val="20"/>
        </w:rPr>
      </w:pPr>
    </w:p>
    <w:tbl>
      <w:tblPr>
        <w:tblStyle w:val="TableGrid"/>
        <w:tblW w:w="0" w:type="auto"/>
        <w:tblInd w:w="-275" w:type="dxa"/>
        <w:tblLook w:val="04A0" w:firstRow="1" w:lastRow="0" w:firstColumn="1" w:lastColumn="0" w:noHBand="0" w:noVBand="1"/>
      </w:tblPr>
      <w:tblGrid>
        <w:gridCol w:w="1128"/>
        <w:gridCol w:w="4652"/>
      </w:tblGrid>
      <w:tr w:rsidR="00680AC1" w14:paraId="01C09168" w14:textId="77777777" w:rsidTr="00C13ABF">
        <w:tc>
          <w:tcPr>
            <w:tcW w:w="5748" w:type="dxa"/>
            <w:gridSpan w:val="2"/>
            <w:shd w:val="clear" w:color="auto" w:fill="538135" w:themeFill="accent6" w:themeFillShade="BF"/>
          </w:tcPr>
          <w:p w14:paraId="5E3DBE76" w14:textId="77777777" w:rsidR="00680AC1" w:rsidRPr="00680AC1" w:rsidRDefault="00680AC1">
            <w:pPr>
              <w:rPr>
                <w:b/>
                <w:caps/>
                <w:color w:val="FFFFFF" w:themeColor="background1"/>
                <w:sz w:val="20"/>
                <w:szCs w:val="20"/>
              </w:rPr>
            </w:pPr>
            <w:r>
              <w:rPr>
                <w:b/>
                <w:caps/>
                <w:color w:val="FFFFFF" w:themeColor="background1"/>
                <w:sz w:val="20"/>
                <w:szCs w:val="20"/>
              </w:rPr>
              <w:t>exposure procedures</w:t>
            </w:r>
          </w:p>
        </w:tc>
      </w:tr>
      <w:tr w:rsidR="00C13ABF" w14:paraId="6057CB70" w14:textId="77777777" w:rsidTr="00C13ABF">
        <w:tc>
          <w:tcPr>
            <w:tcW w:w="1530" w:type="dxa"/>
          </w:tcPr>
          <w:p w14:paraId="539702C5" w14:textId="77777777" w:rsidR="00680AC1" w:rsidRPr="00E37F21" w:rsidRDefault="00680AC1">
            <w:pPr>
              <w:rPr>
                <w:b/>
                <w:i/>
                <w:sz w:val="20"/>
                <w:szCs w:val="20"/>
              </w:rPr>
            </w:pPr>
            <w:r w:rsidRPr="00E37F21">
              <w:rPr>
                <w:b/>
                <w:i/>
                <w:sz w:val="20"/>
                <w:szCs w:val="20"/>
              </w:rPr>
              <w:t>Mucous membranes</w:t>
            </w:r>
          </w:p>
        </w:tc>
        <w:tc>
          <w:tcPr>
            <w:tcW w:w="4218" w:type="dxa"/>
          </w:tcPr>
          <w:p w14:paraId="63521E0D" w14:textId="77777777" w:rsidR="00680AC1" w:rsidRDefault="00680AC1">
            <w:pPr>
              <w:rPr>
                <w:sz w:val="20"/>
                <w:szCs w:val="20"/>
              </w:rPr>
            </w:pPr>
            <w:r>
              <w:rPr>
                <w:sz w:val="20"/>
                <w:szCs w:val="20"/>
              </w:rPr>
              <w:t>Flush eyes, mouth or nose for 15 minutes at eyewash station.</w:t>
            </w:r>
          </w:p>
        </w:tc>
      </w:tr>
      <w:tr w:rsidR="00C13ABF" w14:paraId="6F0C3BBB" w14:textId="77777777" w:rsidTr="00C13ABF">
        <w:trPr>
          <w:trHeight w:val="521"/>
        </w:trPr>
        <w:tc>
          <w:tcPr>
            <w:tcW w:w="1530" w:type="dxa"/>
          </w:tcPr>
          <w:p w14:paraId="2324650D" w14:textId="77777777" w:rsidR="00680AC1" w:rsidRPr="00E37F21" w:rsidRDefault="00680AC1">
            <w:pPr>
              <w:rPr>
                <w:b/>
                <w:i/>
                <w:sz w:val="20"/>
                <w:szCs w:val="20"/>
              </w:rPr>
            </w:pPr>
            <w:r w:rsidRPr="00E37F21">
              <w:rPr>
                <w:b/>
                <w:i/>
                <w:sz w:val="20"/>
                <w:szCs w:val="20"/>
              </w:rPr>
              <w:t>Other exposures</w:t>
            </w:r>
          </w:p>
        </w:tc>
        <w:tc>
          <w:tcPr>
            <w:tcW w:w="4218" w:type="dxa"/>
          </w:tcPr>
          <w:p w14:paraId="464563A3" w14:textId="77777777" w:rsidR="00680AC1" w:rsidRDefault="00680AC1">
            <w:pPr>
              <w:rPr>
                <w:sz w:val="20"/>
                <w:szCs w:val="20"/>
              </w:rPr>
            </w:pPr>
            <w:r>
              <w:rPr>
                <w:sz w:val="20"/>
                <w:szCs w:val="20"/>
              </w:rPr>
              <w:t>Wash area with soap and water for 15 minutes</w:t>
            </w:r>
          </w:p>
        </w:tc>
      </w:tr>
      <w:tr w:rsidR="00C13ABF" w14:paraId="79348B75" w14:textId="77777777" w:rsidTr="00C13ABF">
        <w:tc>
          <w:tcPr>
            <w:tcW w:w="1530" w:type="dxa"/>
          </w:tcPr>
          <w:p w14:paraId="435C54C4" w14:textId="3A2AC550" w:rsidR="00680AC1" w:rsidRPr="00E37F21" w:rsidRDefault="00680AC1">
            <w:pPr>
              <w:rPr>
                <w:b/>
                <w:i/>
                <w:sz w:val="20"/>
                <w:szCs w:val="20"/>
              </w:rPr>
            </w:pPr>
            <w:r w:rsidRPr="00E37F21">
              <w:rPr>
                <w:b/>
                <w:i/>
                <w:sz w:val="20"/>
                <w:szCs w:val="20"/>
              </w:rPr>
              <w:t>Med</w:t>
            </w:r>
            <w:r w:rsidR="001C3B8D" w:rsidRPr="00E37F21">
              <w:rPr>
                <w:b/>
                <w:i/>
                <w:sz w:val="20"/>
                <w:szCs w:val="20"/>
              </w:rPr>
              <w:t xml:space="preserve">ical </w:t>
            </w:r>
            <w:r w:rsidRPr="00E37F21">
              <w:rPr>
                <w:b/>
                <w:i/>
                <w:sz w:val="20"/>
                <w:szCs w:val="20"/>
              </w:rPr>
              <w:t>Follow-Up</w:t>
            </w:r>
          </w:p>
        </w:tc>
        <w:tc>
          <w:tcPr>
            <w:tcW w:w="4218" w:type="dxa"/>
          </w:tcPr>
          <w:p w14:paraId="482CC955" w14:textId="34C2DD82" w:rsidR="00680AC1" w:rsidRDefault="005A175C">
            <w:pPr>
              <w:rPr>
                <w:sz w:val="20"/>
                <w:szCs w:val="20"/>
              </w:rPr>
            </w:pPr>
            <w:r>
              <w:rPr>
                <w:sz w:val="20"/>
                <w:szCs w:val="20"/>
              </w:rPr>
              <w:t>Contact</w:t>
            </w:r>
            <w:r w:rsidR="00FC4DA2">
              <w:rPr>
                <w:sz w:val="20"/>
                <w:szCs w:val="20"/>
              </w:rPr>
              <w:t xml:space="preserve"> </w:t>
            </w:r>
            <w:r>
              <w:rPr>
                <w:sz w:val="20"/>
                <w:szCs w:val="20"/>
              </w:rPr>
              <w:t xml:space="preserve">UVMMC Infectious Disease Dept. directly at </w:t>
            </w:r>
            <w:r w:rsidRPr="005A175C">
              <w:rPr>
                <w:b/>
                <w:sz w:val="20"/>
                <w:szCs w:val="20"/>
              </w:rPr>
              <w:t>(802) 847-2700</w:t>
            </w:r>
            <w:r>
              <w:rPr>
                <w:sz w:val="20"/>
                <w:szCs w:val="20"/>
              </w:rPr>
              <w:t xml:space="preserve"> for immediate assistance</w:t>
            </w:r>
            <w:r w:rsidR="00487C23">
              <w:rPr>
                <w:sz w:val="20"/>
                <w:szCs w:val="20"/>
              </w:rPr>
              <w:t>. Bring this document with you if seeking medical care.</w:t>
            </w:r>
          </w:p>
        </w:tc>
      </w:tr>
      <w:tr w:rsidR="00C13ABF" w14:paraId="7AD6EA23" w14:textId="77777777" w:rsidTr="00C13ABF">
        <w:tc>
          <w:tcPr>
            <w:tcW w:w="1530" w:type="dxa"/>
          </w:tcPr>
          <w:p w14:paraId="6FD6EF94" w14:textId="77777777" w:rsidR="00680AC1" w:rsidRPr="00E37F21" w:rsidRDefault="00680AC1">
            <w:pPr>
              <w:rPr>
                <w:b/>
                <w:i/>
                <w:sz w:val="20"/>
                <w:szCs w:val="20"/>
              </w:rPr>
            </w:pPr>
            <w:r w:rsidRPr="00E37F21">
              <w:rPr>
                <w:b/>
                <w:i/>
                <w:sz w:val="20"/>
                <w:szCs w:val="20"/>
              </w:rPr>
              <w:t>Reporting</w:t>
            </w:r>
          </w:p>
        </w:tc>
        <w:tc>
          <w:tcPr>
            <w:tcW w:w="4218" w:type="dxa"/>
          </w:tcPr>
          <w:p w14:paraId="50606FB1" w14:textId="77777777" w:rsidR="00680AC1" w:rsidRDefault="005A175C">
            <w:pPr>
              <w:rPr>
                <w:sz w:val="20"/>
                <w:szCs w:val="20"/>
              </w:rPr>
            </w:pPr>
            <w:r>
              <w:rPr>
                <w:sz w:val="20"/>
                <w:szCs w:val="20"/>
              </w:rPr>
              <w:t>Report all exposures or</w:t>
            </w:r>
            <w:r w:rsidR="00C13ABF">
              <w:rPr>
                <w:sz w:val="20"/>
                <w:szCs w:val="20"/>
              </w:rPr>
              <w:t xml:space="preserve"> near misses to</w:t>
            </w:r>
            <w:r>
              <w:rPr>
                <w:sz w:val="20"/>
                <w:szCs w:val="20"/>
              </w:rPr>
              <w:t>:</w:t>
            </w:r>
          </w:p>
          <w:p w14:paraId="2BDCB0D7" w14:textId="77777777" w:rsidR="005A175C" w:rsidRDefault="005A175C" w:rsidP="005A175C">
            <w:pPr>
              <w:pStyle w:val="ListParagraph"/>
              <w:numPr>
                <w:ilvl w:val="0"/>
                <w:numId w:val="1"/>
              </w:numPr>
              <w:rPr>
                <w:sz w:val="20"/>
                <w:szCs w:val="20"/>
              </w:rPr>
            </w:pPr>
            <w:r>
              <w:rPr>
                <w:sz w:val="20"/>
                <w:szCs w:val="20"/>
              </w:rPr>
              <w:t>Your immediate Supervisor</w:t>
            </w:r>
          </w:p>
          <w:p w14:paraId="4C78EF96" w14:textId="016E71F8" w:rsidR="005A175C" w:rsidRDefault="005A175C" w:rsidP="005A175C">
            <w:pPr>
              <w:pStyle w:val="ListParagraph"/>
              <w:numPr>
                <w:ilvl w:val="0"/>
                <w:numId w:val="1"/>
              </w:numPr>
              <w:rPr>
                <w:sz w:val="20"/>
                <w:szCs w:val="20"/>
              </w:rPr>
            </w:pPr>
            <w:r>
              <w:rPr>
                <w:sz w:val="20"/>
                <w:szCs w:val="20"/>
              </w:rPr>
              <w:t xml:space="preserve">The UVM Biosafety Officer at </w:t>
            </w:r>
            <w:r w:rsidRPr="005A175C">
              <w:rPr>
                <w:b/>
                <w:sz w:val="20"/>
                <w:szCs w:val="20"/>
              </w:rPr>
              <w:t>(802) 777-9471</w:t>
            </w:r>
            <w:r>
              <w:rPr>
                <w:sz w:val="20"/>
                <w:szCs w:val="20"/>
              </w:rPr>
              <w:t xml:space="preserve"> and Risk Management at </w:t>
            </w:r>
            <w:r w:rsidRPr="005A175C">
              <w:rPr>
                <w:b/>
                <w:sz w:val="20"/>
                <w:szCs w:val="20"/>
              </w:rPr>
              <w:t>6-3242</w:t>
            </w:r>
          </w:p>
          <w:p w14:paraId="23B1E625" w14:textId="17FDF804" w:rsidR="005A175C" w:rsidRPr="005A175C" w:rsidRDefault="005A175C" w:rsidP="005A175C">
            <w:pPr>
              <w:pStyle w:val="ListParagraph"/>
              <w:numPr>
                <w:ilvl w:val="0"/>
                <w:numId w:val="1"/>
              </w:numPr>
              <w:rPr>
                <w:sz w:val="20"/>
                <w:szCs w:val="20"/>
              </w:rPr>
            </w:pPr>
            <w:r>
              <w:rPr>
                <w:sz w:val="20"/>
                <w:szCs w:val="20"/>
              </w:rPr>
              <w:t xml:space="preserve">Risk Management and Safety; </w:t>
            </w:r>
            <w:hyperlink r:id="rId11" w:history="1">
              <w:r w:rsidR="006F3EB5">
                <w:rPr>
                  <w:rStyle w:val="Hyperlink"/>
                  <w:sz w:val="20"/>
                  <w:szCs w:val="20"/>
                </w:rPr>
                <w:t>https://www.uvm.edu/riskmanagement/incident-claim-reporting-procedures</w:t>
              </w:r>
            </w:hyperlink>
            <w:bookmarkStart w:id="0" w:name="_GoBack"/>
            <w:bookmarkEnd w:id="0"/>
          </w:p>
        </w:tc>
      </w:tr>
    </w:tbl>
    <w:p w14:paraId="21E1329C" w14:textId="568C3245" w:rsidR="00680AC1" w:rsidRDefault="00680AC1">
      <w:pPr>
        <w:rPr>
          <w:sz w:val="20"/>
          <w:szCs w:val="20"/>
        </w:rPr>
      </w:pPr>
    </w:p>
    <w:tbl>
      <w:tblPr>
        <w:tblStyle w:val="TableGrid"/>
        <w:tblW w:w="0" w:type="auto"/>
        <w:tblInd w:w="-275" w:type="dxa"/>
        <w:tblLook w:val="04A0" w:firstRow="1" w:lastRow="0" w:firstColumn="1" w:lastColumn="0" w:noHBand="0" w:noVBand="1"/>
      </w:tblPr>
      <w:tblGrid>
        <w:gridCol w:w="1482"/>
        <w:gridCol w:w="4255"/>
      </w:tblGrid>
      <w:tr w:rsidR="00897CF1" w14:paraId="0CF72619" w14:textId="77777777" w:rsidTr="00645944">
        <w:tc>
          <w:tcPr>
            <w:tcW w:w="5737" w:type="dxa"/>
            <w:gridSpan w:val="2"/>
            <w:shd w:val="clear" w:color="auto" w:fill="538135" w:themeFill="accent6" w:themeFillShade="BF"/>
          </w:tcPr>
          <w:p w14:paraId="0F496011" w14:textId="77777777" w:rsidR="00897CF1" w:rsidRPr="009E6568" w:rsidRDefault="00897CF1" w:rsidP="00645944">
            <w:pPr>
              <w:rPr>
                <w:b/>
                <w:caps/>
                <w:color w:val="FFFFFF" w:themeColor="background1"/>
                <w:sz w:val="20"/>
                <w:szCs w:val="20"/>
              </w:rPr>
            </w:pPr>
            <w:r>
              <w:rPr>
                <w:b/>
                <w:caps/>
                <w:color w:val="FFFFFF" w:themeColor="background1"/>
                <w:sz w:val="20"/>
                <w:szCs w:val="20"/>
              </w:rPr>
              <w:t>Personal protective equipment (PPE)</w:t>
            </w:r>
          </w:p>
        </w:tc>
      </w:tr>
      <w:tr w:rsidR="00897CF1" w14:paraId="2E03434D" w14:textId="77777777" w:rsidTr="00645944">
        <w:tc>
          <w:tcPr>
            <w:tcW w:w="1482" w:type="dxa"/>
          </w:tcPr>
          <w:p w14:paraId="007D5039" w14:textId="77777777" w:rsidR="00897CF1" w:rsidRPr="00E37F21" w:rsidRDefault="00897CF1" w:rsidP="00645944">
            <w:pPr>
              <w:rPr>
                <w:b/>
                <w:i/>
                <w:sz w:val="20"/>
                <w:szCs w:val="20"/>
              </w:rPr>
            </w:pPr>
            <w:r w:rsidRPr="00E37F21">
              <w:rPr>
                <w:b/>
                <w:i/>
                <w:sz w:val="20"/>
                <w:szCs w:val="20"/>
              </w:rPr>
              <w:t>Minimum PPE Requirements</w:t>
            </w:r>
          </w:p>
        </w:tc>
        <w:tc>
          <w:tcPr>
            <w:tcW w:w="4255" w:type="dxa"/>
          </w:tcPr>
          <w:p w14:paraId="627B4497" w14:textId="77777777" w:rsidR="00897CF1" w:rsidRDefault="00897CF1" w:rsidP="00645944">
            <w:pPr>
              <w:rPr>
                <w:sz w:val="20"/>
                <w:szCs w:val="20"/>
              </w:rPr>
            </w:pPr>
            <w:r>
              <w:rPr>
                <w:sz w:val="20"/>
                <w:szCs w:val="20"/>
              </w:rPr>
              <w:t>Nitrile gloves, closed toed shoes, lab coat, appropriate eye/face protection. Disposable sleeves for biosafety cabinet work.</w:t>
            </w:r>
          </w:p>
        </w:tc>
      </w:tr>
      <w:tr w:rsidR="00897CF1" w14:paraId="6F5A5583" w14:textId="77777777" w:rsidTr="00645944">
        <w:tc>
          <w:tcPr>
            <w:tcW w:w="1482" w:type="dxa"/>
          </w:tcPr>
          <w:p w14:paraId="4E39BC3C" w14:textId="77777777" w:rsidR="00897CF1" w:rsidRPr="00E37F21" w:rsidRDefault="00897CF1" w:rsidP="00645944">
            <w:pPr>
              <w:rPr>
                <w:b/>
                <w:i/>
                <w:sz w:val="20"/>
                <w:szCs w:val="20"/>
              </w:rPr>
            </w:pPr>
            <w:r w:rsidRPr="00E37F21">
              <w:rPr>
                <w:b/>
                <w:i/>
                <w:sz w:val="20"/>
                <w:szCs w:val="20"/>
              </w:rPr>
              <w:t xml:space="preserve">Additional Precautions </w:t>
            </w:r>
            <w:r>
              <w:rPr>
                <w:b/>
                <w:i/>
                <w:sz w:val="20"/>
                <w:szCs w:val="20"/>
              </w:rPr>
              <w:t>(Risk assessment dependent)</w:t>
            </w:r>
          </w:p>
        </w:tc>
        <w:tc>
          <w:tcPr>
            <w:tcW w:w="4255" w:type="dxa"/>
          </w:tcPr>
          <w:p w14:paraId="17F72CC8" w14:textId="77777777" w:rsidR="00897CF1" w:rsidRDefault="00897CF1" w:rsidP="00645944">
            <w:pPr>
              <w:rPr>
                <w:sz w:val="20"/>
                <w:szCs w:val="20"/>
              </w:rPr>
            </w:pPr>
            <w:r>
              <w:rPr>
                <w:sz w:val="20"/>
                <w:szCs w:val="20"/>
              </w:rPr>
              <w:t>A medical surveillance program should be implemented. Sharps use should be strictly limited. Non-intact skin should be allowed to scab over before entering the lab, and should then be covered with waterproof dressings. Remove hand jewelry before donning gloves, change gloves every 30 minutes.</w:t>
            </w:r>
          </w:p>
          <w:p w14:paraId="007DA61D" w14:textId="77777777" w:rsidR="00897CF1" w:rsidRDefault="00897CF1" w:rsidP="00645944">
            <w:pPr>
              <w:rPr>
                <w:sz w:val="20"/>
                <w:szCs w:val="20"/>
              </w:rPr>
            </w:pPr>
          </w:p>
        </w:tc>
      </w:tr>
    </w:tbl>
    <w:p w14:paraId="12C9E9B3" w14:textId="68112AB5" w:rsidR="00E37F21" w:rsidRDefault="00E37F21">
      <w:pPr>
        <w:rPr>
          <w:sz w:val="20"/>
          <w:szCs w:val="20"/>
        </w:rPr>
      </w:pPr>
      <w:r>
        <w:rPr>
          <w:sz w:val="20"/>
          <w:szCs w:val="20"/>
        </w:rPr>
        <w:br w:type="page"/>
      </w:r>
    </w:p>
    <w:tbl>
      <w:tblPr>
        <w:tblStyle w:val="TableGrid"/>
        <w:tblW w:w="5738" w:type="dxa"/>
        <w:tblLook w:val="04A0" w:firstRow="1" w:lastRow="0" w:firstColumn="1" w:lastColumn="0" w:noHBand="0" w:noVBand="1"/>
      </w:tblPr>
      <w:tblGrid>
        <w:gridCol w:w="1345"/>
        <w:gridCol w:w="4393"/>
      </w:tblGrid>
      <w:tr w:rsidR="00897CF1" w14:paraId="445AC231" w14:textId="77777777" w:rsidTr="00645944">
        <w:trPr>
          <w:trHeight w:val="257"/>
        </w:trPr>
        <w:tc>
          <w:tcPr>
            <w:tcW w:w="5738" w:type="dxa"/>
            <w:gridSpan w:val="2"/>
            <w:shd w:val="clear" w:color="auto" w:fill="538135" w:themeFill="accent6" w:themeFillShade="BF"/>
          </w:tcPr>
          <w:p w14:paraId="3F2688CC" w14:textId="77777777" w:rsidR="00897CF1" w:rsidRPr="00E37F21" w:rsidRDefault="00897CF1" w:rsidP="00645944">
            <w:pPr>
              <w:rPr>
                <w:b/>
                <w:caps/>
                <w:color w:val="FFFFFF" w:themeColor="background1"/>
                <w:sz w:val="20"/>
                <w:szCs w:val="20"/>
              </w:rPr>
            </w:pPr>
            <w:r>
              <w:rPr>
                <w:b/>
                <w:caps/>
                <w:color w:val="FFFFFF" w:themeColor="background1"/>
                <w:sz w:val="20"/>
                <w:szCs w:val="20"/>
              </w:rPr>
              <w:lastRenderedPageBreak/>
              <w:t>Viability</w:t>
            </w:r>
          </w:p>
        </w:tc>
      </w:tr>
      <w:tr w:rsidR="00897CF1" w14:paraId="292BF74B" w14:textId="77777777" w:rsidTr="00645944">
        <w:trPr>
          <w:trHeight w:val="257"/>
        </w:trPr>
        <w:tc>
          <w:tcPr>
            <w:tcW w:w="1345" w:type="dxa"/>
          </w:tcPr>
          <w:p w14:paraId="68D8A199" w14:textId="77777777" w:rsidR="00897CF1" w:rsidRPr="00E37F21" w:rsidRDefault="00897CF1" w:rsidP="00645944">
            <w:pPr>
              <w:rPr>
                <w:b/>
                <w:i/>
                <w:sz w:val="20"/>
                <w:szCs w:val="20"/>
              </w:rPr>
            </w:pPr>
            <w:r w:rsidRPr="00E37F21">
              <w:rPr>
                <w:b/>
                <w:i/>
                <w:sz w:val="20"/>
                <w:szCs w:val="20"/>
              </w:rPr>
              <w:t>Disinfection</w:t>
            </w:r>
          </w:p>
        </w:tc>
        <w:tc>
          <w:tcPr>
            <w:tcW w:w="4393" w:type="dxa"/>
          </w:tcPr>
          <w:p w14:paraId="59BC5594" w14:textId="5F1BA3FA" w:rsidR="00897CF1" w:rsidRDefault="00897CF1" w:rsidP="00645944">
            <w:pPr>
              <w:rPr>
                <w:sz w:val="20"/>
                <w:szCs w:val="20"/>
              </w:rPr>
            </w:pPr>
            <w:r>
              <w:rPr>
                <w:sz w:val="20"/>
                <w:szCs w:val="20"/>
              </w:rPr>
              <w:t>Susceptible to fresh 2% glutaraldehyde, 1% sodium hypochlorite, iodine, phenolics; with 10</w:t>
            </w:r>
            <w:r w:rsidR="004A5652">
              <w:rPr>
                <w:sz w:val="20"/>
                <w:szCs w:val="20"/>
              </w:rPr>
              <w:t xml:space="preserve"> </w:t>
            </w:r>
            <w:r>
              <w:rPr>
                <w:sz w:val="20"/>
                <w:szCs w:val="20"/>
              </w:rPr>
              <w:t>minute contact time</w:t>
            </w:r>
          </w:p>
        </w:tc>
      </w:tr>
      <w:tr w:rsidR="00897CF1" w14:paraId="73F0465E" w14:textId="77777777" w:rsidTr="00645944">
        <w:trPr>
          <w:trHeight w:val="257"/>
        </w:trPr>
        <w:tc>
          <w:tcPr>
            <w:tcW w:w="1345" w:type="dxa"/>
          </w:tcPr>
          <w:p w14:paraId="16BABAA3" w14:textId="77777777" w:rsidR="00897CF1" w:rsidRPr="00E37F21" w:rsidRDefault="00897CF1" w:rsidP="00645944">
            <w:pPr>
              <w:rPr>
                <w:b/>
                <w:i/>
                <w:sz w:val="20"/>
                <w:szCs w:val="20"/>
              </w:rPr>
            </w:pPr>
            <w:r w:rsidRPr="00E37F21">
              <w:rPr>
                <w:b/>
                <w:i/>
                <w:sz w:val="20"/>
                <w:szCs w:val="20"/>
              </w:rPr>
              <w:t>Inactivation</w:t>
            </w:r>
          </w:p>
        </w:tc>
        <w:tc>
          <w:tcPr>
            <w:tcW w:w="4393" w:type="dxa"/>
          </w:tcPr>
          <w:p w14:paraId="1496B025" w14:textId="426E9DC3" w:rsidR="00897CF1" w:rsidRDefault="00897CF1" w:rsidP="00645944">
            <w:pPr>
              <w:rPr>
                <w:sz w:val="20"/>
                <w:szCs w:val="20"/>
              </w:rPr>
            </w:pPr>
            <w:r>
              <w:rPr>
                <w:sz w:val="20"/>
                <w:szCs w:val="20"/>
              </w:rPr>
              <w:t>Inactivated by heat &gt;60</w:t>
            </w:r>
            <w:r w:rsidR="004A5652">
              <w:rPr>
                <w:sz w:val="20"/>
                <w:szCs w:val="20"/>
              </w:rPr>
              <w:sym w:font="Symbol" w:char="F0B0"/>
            </w:r>
            <w:r>
              <w:rPr>
                <w:sz w:val="20"/>
                <w:szCs w:val="20"/>
              </w:rPr>
              <w:t>C, and pH extremes</w:t>
            </w:r>
          </w:p>
        </w:tc>
      </w:tr>
      <w:tr w:rsidR="00897CF1" w14:paraId="7687AD86" w14:textId="77777777" w:rsidTr="00645944">
        <w:trPr>
          <w:trHeight w:val="257"/>
        </w:trPr>
        <w:tc>
          <w:tcPr>
            <w:tcW w:w="1345" w:type="dxa"/>
          </w:tcPr>
          <w:p w14:paraId="63C87690" w14:textId="77777777" w:rsidR="00897CF1" w:rsidRPr="00E37F21" w:rsidRDefault="00897CF1" w:rsidP="00645944">
            <w:pPr>
              <w:rPr>
                <w:b/>
                <w:i/>
                <w:sz w:val="20"/>
                <w:szCs w:val="20"/>
              </w:rPr>
            </w:pPr>
            <w:r w:rsidRPr="00E37F21">
              <w:rPr>
                <w:b/>
                <w:i/>
                <w:sz w:val="20"/>
                <w:szCs w:val="20"/>
              </w:rPr>
              <w:t>Survival Outside Host</w:t>
            </w:r>
          </w:p>
        </w:tc>
        <w:tc>
          <w:tcPr>
            <w:tcW w:w="4393" w:type="dxa"/>
          </w:tcPr>
          <w:p w14:paraId="1C795A3E" w14:textId="28A729EB" w:rsidR="00897CF1" w:rsidRDefault="00897CF1" w:rsidP="004A5652">
            <w:pPr>
              <w:rPr>
                <w:sz w:val="20"/>
                <w:szCs w:val="20"/>
              </w:rPr>
            </w:pPr>
            <w:r>
              <w:rPr>
                <w:sz w:val="20"/>
                <w:szCs w:val="20"/>
              </w:rPr>
              <w:t xml:space="preserve">Capable of surviving in blood in syringes at room temperature for 42 days, in blood and </w:t>
            </w:r>
            <w:r w:rsidR="004A5652">
              <w:rPr>
                <w:sz w:val="20"/>
                <w:szCs w:val="20"/>
              </w:rPr>
              <w:t>cerebrospinal fluid</w:t>
            </w:r>
            <w:r>
              <w:rPr>
                <w:sz w:val="20"/>
                <w:szCs w:val="20"/>
              </w:rPr>
              <w:t xml:space="preserve"> from autopsies for 11 days, and dehydrated on surfaces for longer than 7 days depending on the initial titer</w:t>
            </w:r>
          </w:p>
        </w:tc>
      </w:tr>
    </w:tbl>
    <w:p w14:paraId="57FA79FB" w14:textId="77777777" w:rsidR="00897CF1" w:rsidRDefault="00897CF1">
      <w:pPr>
        <w:rPr>
          <w:sz w:val="20"/>
          <w:szCs w:val="20"/>
        </w:rPr>
      </w:pPr>
    </w:p>
    <w:tbl>
      <w:tblPr>
        <w:tblStyle w:val="TableGrid"/>
        <w:tblW w:w="5755" w:type="dxa"/>
        <w:tblLook w:val="04A0" w:firstRow="1" w:lastRow="0" w:firstColumn="1" w:lastColumn="0" w:noHBand="0" w:noVBand="1"/>
      </w:tblPr>
      <w:tblGrid>
        <w:gridCol w:w="1348"/>
        <w:gridCol w:w="4407"/>
      </w:tblGrid>
      <w:tr w:rsidR="001137DE" w14:paraId="64B3F3B8" w14:textId="77777777" w:rsidTr="001137DE">
        <w:tc>
          <w:tcPr>
            <w:tcW w:w="5755" w:type="dxa"/>
            <w:gridSpan w:val="2"/>
            <w:shd w:val="clear" w:color="auto" w:fill="538135" w:themeFill="accent6" w:themeFillShade="BF"/>
          </w:tcPr>
          <w:p w14:paraId="42D0F0D5" w14:textId="7E33D90D" w:rsidR="001137DE" w:rsidRPr="001137DE" w:rsidRDefault="001137DE">
            <w:pPr>
              <w:rPr>
                <w:b/>
                <w:caps/>
                <w:color w:val="FFFFFF" w:themeColor="background1"/>
                <w:sz w:val="20"/>
                <w:szCs w:val="20"/>
              </w:rPr>
            </w:pPr>
            <w:r>
              <w:rPr>
                <w:b/>
                <w:caps/>
                <w:color w:val="FFFFFF" w:themeColor="background1"/>
                <w:sz w:val="20"/>
                <w:szCs w:val="20"/>
              </w:rPr>
              <w:t>Spill clean up procedures</w:t>
            </w:r>
          </w:p>
        </w:tc>
      </w:tr>
      <w:tr w:rsidR="001137DE" w14:paraId="607681A3" w14:textId="77777777" w:rsidTr="00D04FF9">
        <w:tc>
          <w:tcPr>
            <w:tcW w:w="1348" w:type="dxa"/>
          </w:tcPr>
          <w:p w14:paraId="6699B99A" w14:textId="261AB233" w:rsidR="00E37F21" w:rsidRPr="001137DE" w:rsidRDefault="001137DE">
            <w:pPr>
              <w:rPr>
                <w:b/>
                <w:i/>
                <w:sz w:val="20"/>
                <w:szCs w:val="20"/>
              </w:rPr>
            </w:pPr>
            <w:r w:rsidRPr="001137DE">
              <w:rPr>
                <w:b/>
                <w:i/>
                <w:sz w:val="20"/>
                <w:szCs w:val="20"/>
              </w:rPr>
              <w:t>Small Spill</w:t>
            </w:r>
          </w:p>
        </w:tc>
        <w:tc>
          <w:tcPr>
            <w:tcW w:w="4407" w:type="dxa"/>
          </w:tcPr>
          <w:p w14:paraId="32722808" w14:textId="2FFFDB50" w:rsidR="00E37F21" w:rsidRDefault="001137DE" w:rsidP="004A5652">
            <w:pPr>
              <w:rPr>
                <w:sz w:val="20"/>
                <w:szCs w:val="20"/>
              </w:rPr>
            </w:pPr>
            <w:r>
              <w:rPr>
                <w:sz w:val="20"/>
                <w:szCs w:val="20"/>
              </w:rPr>
              <w:t>Notify others working</w:t>
            </w:r>
            <w:r w:rsidR="00775188">
              <w:rPr>
                <w:sz w:val="20"/>
                <w:szCs w:val="20"/>
              </w:rPr>
              <w:t xml:space="preserve"> in the lab.  Allow aerosols to </w:t>
            </w:r>
            <w:r>
              <w:rPr>
                <w:sz w:val="20"/>
                <w:szCs w:val="20"/>
              </w:rPr>
              <w:t>settle.  Don appropriate PPE.  Cover area of the spill with paper towels and apply approved disinfectant, working from the perimeter towards the center.  Allow 30 min</w:t>
            </w:r>
            <w:r w:rsidR="004A5652">
              <w:rPr>
                <w:sz w:val="20"/>
                <w:szCs w:val="20"/>
              </w:rPr>
              <w:t>utes</w:t>
            </w:r>
            <w:r>
              <w:rPr>
                <w:sz w:val="20"/>
                <w:szCs w:val="20"/>
              </w:rPr>
              <w:t xml:space="preserve"> of contact time before clean up and disposal.  Dispose in double biowaste bags and biobox.</w:t>
            </w:r>
          </w:p>
        </w:tc>
      </w:tr>
      <w:tr w:rsidR="001137DE" w14:paraId="211C77A1" w14:textId="77777777" w:rsidTr="00D04FF9">
        <w:trPr>
          <w:trHeight w:val="269"/>
        </w:trPr>
        <w:tc>
          <w:tcPr>
            <w:tcW w:w="1348" w:type="dxa"/>
          </w:tcPr>
          <w:p w14:paraId="3D58360A" w14:textId="69330659" w:rsidR="00E37F21" w:rsidRPr="001137DE" w:rsidRDefault="001137DE">
            <w:pPr>
              <w:rPr>
                <w:b/>
                <w:i/>
                <w:sz w:val="20"/>
                <w:szCs w:val="20"/>
              </w:rPr>
            </w:pPr>
            <w:r w:rsidRPr="001137DE">
              <w:rPr>
                <w:b/>
                <w:i/>
                <w:sz w:val="20"/>
                <w:szCs w:val="20"/>
              </w:rPr>
              <w:t>Large Spill</w:t>
            </w:r>
          </w:p>
        </w:tc>
        <w:tc>
          <w:tcPr>
            <w:tcW w:w="4407" w:type="dxa"/>
          </w:tcPr>
          <w:p w14:paraId="6C0B4D55" w14:textId="77777777" w:rsidR="00E37F21" w:rsidRDefault="001137DE">
            <w:pPr>
              <w:rPr>
                <w:sz w:val="20"/>
                <w:szCs w:val="20"/>
              </w:rPr>
            </w:pPr>
            <w:r w:rsidRPr="00266376">
              <w:rPr>
                <w:b/>
                <w:sz w:val="20"/>
                <w:szCs w:val="20"/>
                <w:u w:val="single"/>
              </w:rPr>
              <w:t>Inside of a lab:</w:t>
            </w:r>
            <w:r>
              <w:rPr>
                <w:sz w:val="20"/>
                <w:szCs w:val="20"/>
              </w:rPr>
              <w:t xml:space="preserve">  Call UVM Service Operations at 656-</w:t>
            </w:r>
            <w:r w:rsidR="00266376">
              <w:rPr>
                <w:sz w:val="20"/>
                <w:szCs w:val="20"/>
              </w:rPr>
              <w:t>2560 and press option 1 to speak to a dispatcher.  Ask them to page Risk Management and Safety.</w:t>
            </w:r>
            <w:r>
              <w:rPr>
                <w:sz w:val="20"/>
                <w:szCs w:val="20"/>
              </w:rPr>
              <w:t xml:space="preserve"> </w:t>
            </w:r>
          </w:p>
          <w:p w14:paraId="7C1DDFB7" w14:textId="60536D72" w:rsidR="00266376" w:rsidRPr="00266376" w:rsidRDefault="00266376">
            <w:pPr>
              <w:rPr>
                <w:sz w:val="20"/>
                <w:szCs w:val="20"/>
              </w:rPr>
            </w:pPr>
            <w:r w:rsidRPr="00266376">
              <w:rPr>
                <w:b/>
                <w:sz w:val="20"/>
                <w:szCs w:val="20"/>
                <w:u w:val="single"/>
              </w:rPr>
              <w:t>Outside of a lab:</w:t>
            </w:r>
            <w:r>
              <w:rPr>
                <w:sz w:val="20"/>
                <w:szCs w:val="20"/>
              </w:rPr>
              <w:t xml:space="preserve"> Pull the nearest fire alarm and evacuate the building.  Wait out front of the building for emergency responders to arrive.</w:t>
            </w:r>
          </w:p>
        </w:tc>
      </w:tr>
    </w:tbl>
    <w:p w14:paraId="70B6E994" w14:textId="77777777" w:rsidR="00E37F21" w:rsidRDefault="00E37F21">
      <w:pPr>
        <w:rPr>
          <w:sz w:val="20"/>
          <w:szCs w:val="20"/>
        </w:rPr>
      </w:pPr>
    </w:p>
    <w:tbl>
      <w:tblPr>
        <w:tblStyle w:val="TableGrid"/>
        <w:tblpPr w:leftFromText="180" w:rightFromText="180" w:vertAnchor="text" w:horzAnchor="page" w:tblpX="172" w:tblpY="18"/>
        <w:tblW w:w="11783" w:type="dxa"/>
        <w:tblLook w:val="04A0" w:firstRow="1" w:lastRow="0" w:firstColumn="1" w:lastColumn="0" w:noHBand="0" w:noVBand="1"/>
      </w:tblPr>
      <w:tblGrid>
        <w:gridCol w:w="11783"/>
      </w:tblGrid>
      <w:tr w:rsidR="00C13ABF" w:rsidRPr="004A786C" w14:paraId="0D1D2274" w14:textId="77777777" w:rsidTr="00C13ABF">
        <w:trPr>
          <w:trHeight w:val="332"/>
        </w:trPr>
        <w:tc>
          <w:tcPr>
            <w:tcW w:w="11783" w:type="dxa"/>
            <w:shd w:val="clear" w:color="auto" w:fill="538135" w:themeFill="accent6" w:themeFillShade="BF"/>
          </w:tcPr>
          <w:p w14:paraId="41E519D7" w14:textId="50930E48" w:rsidR="00775188" w:rsidRPr="004D0C5D" w:rsidRDefault="00775188" w:rsidP="00775188">
            <w:pPr>
              <w:rPr>
                <w:b/>
                <w:caps/>
                <w:color w:val="FFFFFF" w:themeColor="background1"/>
              </w:rPr>
            </w:pPr>
            <w:r w:rsidRPr="004D0C5D">
              <w:rPr>
                <w:b/>
                <w:caps/>
                <w:color w:val="FFFFFF" w:themeColor="background1"/>
              </w:rPr>
              <w:t>Student / Employee Name</w:t>
            </w:r>
            <w:r w:rsidR="00C13ABF">
              <w:rPr>
                <w:b/>
                <w:caps/>
                <w:color w:val="FFFFFF" w:themeColor="background1"/>
              </w:rPr>
              <w:t xml:space="preserve">                                                               SIGNATURE                                                            DATE</w:t>
            </w:r>
          </w:p>
        </w:tc>
      </w:tr>
      <w:tr w:rsidR="00C13ABF" w:rsidRPr="004A786C" w14:paraId="1785F972" w14:textId="77777777" w:rsidTr="00C13ABF">
        <w:trPr>
          <w:trHeight w:val="257"/>
        </w:trPr>
        <w:tc>
          <w:tcPr>
            <w:tcW w:w="11783" w:type="dxa"/>
          </w:tcPr>
          <w:p w14:paraId="31BF6B59" w14:textId="77777777" w:rsidR="00775188" w:rsidRPr="004A786C" w:rsidRDefault="00775188" w:rsidP="00775188"/>
        </w:tc>
      </w:tr>
      <w:tr w:rsidR="00C13ABF" w:rsidRPr="004A786C" w14:paraId="0959FE22" w14:textId="77777777" w:rsidTr="00C13ABF">
        <w:trPr>
          <w:trHeight w:val="257"/>
        </w:trPr>
        <w:tc>
          <w:tcPr>
            <w:tcW w:w="11783" w:type="dxa"/>
          </w:tcPr>
          <w:p w14:paraId="09BF422A" w14:textId="77777777" w:rsidR="00775188" w:rsidRPr="004A786C" w:rsidRDefault="00775188" w:rsidP="00775188"/>
        </w:tc>
      </w:tr>
      <w:tr w:rsidR="00C13ABF" w:rsidRPr="004A786C" w14:paraId="5E2D6C9C" w14:textId="77777777" w:rsidTr="00C13ABF">
        <w:trPr>
          <w:trHeight w:val="257"/>
        </w:trPr>
        <w:tc>
          <w:tcPr>
            <w:tcW w:w="11783" w:type="dxa"/>
          </w:tcPr>
          <w:p w14:paraId="5C770CA8" w14:textId="77777777" w:rsidR="00775188" w:rsidRPr="004A786C" w:rsidRDefault="00775188" w:rsidP="00775188"/>
        </w:tc>
      </w:tr>
      <w:tr w:rsidR="00C13ABF" w:rsidRPr="004A786C" w14:paraId="689896BF" w14:textId="77777777" w:rsidTr="00C13ABF">
        <w:trPr>
          <w:trHeight w:val="257"/>
        </w:trPr>
        <w:tc>
          <w:tcPr>
            <w:tcW w:w="11783" w:type="dxa"/>
          </w:tcPr>
          <w:p w14:paraId="0FAC85E0" w14:textId="77777777" w:rsidR="00775188" w:rsidRPr="004A786C" w:rsidRDefault="00775188" w:rsidP="00775188"/>
        </w:tc>
      </w:tr>
      <w:tr w:rsidR="00C13ABF" w:rsidRPr="004A786C" w14:paraId="57371DBA" w14:textId="77777777" w:rsidTr="00C13ABF">
        <w:trPr>
          <w:trHeight w:val="257"/>
        </w:trPr>
        <w:tc>
          <w:tcPr>
            <w:tcW w:w="11783" w:type="dxa"/>
          </w:tcPr>
          <w:p w14:paraId="40DC1C51" w14:textId="77777777" w:rsidR="00775188" w:rsidRPr="004A786C" w:rsidRDefault="00775188" w:rsidP="00775188"/>
        </w:tc>
      </w:tr>
      <w:tr w:rsidR="00C13ABF" w:rsidRPr="004A786C" w14:paraId="50FB741A" w14:textId="77777777" w:rsidTr="00C13ABF">
        <w:trPr>
          <w:trHeight w:val="257"/>
        </w:trPr>
        <w:tc>
          <w:tcPr>
            <w:tcW w:w="11783" w:type="dxa"/>
          </w:tcPr>
          <w:p w14:paraId="787C3B4A" w14:textId="77777777" w:rsidR="00775188" w:rsidRPr="004A786C" w:rsidRDefault="00775188" w:rsidP="00775188"/>
        </w:tc>
      </w:tr>
      <w:tr w:rsidR="00C13ABF" w:rsidRPr="004A786C" w14:paraId="14B6D0F1" w14:textId="77777777" w:rsidTr="00C13ABF">
        <w:trPr>
          <w:trHeight w:val="257"/>
        </w:trPr>
        <w:tc>
          <w:tcPr>
            <w:tcW w:w="11783" w:type="dxa"/>
          </w:tcPr>
          <w:p w14:paraId="63C1967B" w14:textId="77777777" w:rsidR="00775188" w:rsidRPr="004A786C" w:rsidRDefault="00775188" w:rsidP="00775188"/>
        </w:tc>
      </w:tr>
      <w:tr w:rsidR="00C13ABF" w:rsidRPr="004A786C" w14:paraId="261CD8E4" w14:textId="77777777" w:rsidTr="00C13ABF">
        <w:trPr>
          <w:trHeight w:val="257"/>
        </w:trPr>
        <w:tc>
          <w:tcPr>
            <w:tcW w:w="11783" w:type="dxa"/>
          </w:tcPr>
          <w:p w14:paraId="447A6260" w14:textId="77777777" w:rsidR="00775188" w:rsidRPr="004A786C" w:rsidRDefault="00775188" w:rsidP="00775188"/>
        </w:tc>
      </w:tr>
      <w:tr w:rsidR="006032FB" w:rsidRPr="004A786C" w14:paraId="76BC9D69" w14:textId="77777777" w:rsidTr="00C13ABF">
        <w:trPr>
          <w:trHeight w:val="257"/>
        </w:trPr>
        <w:tc>
          <w:tcPr>
            <w:tcW w:w="11783" w:type="dxa"/>
          </w:tcPr>
          <w:p w14:paraId="1C229BB8" w14:textId="77777777" w:rsidR="006032FB" w:rsidRPr="004A786C" w:rsidRDefault="006032FB" w:rsidP="00775188"/>
        </w:tc>
      </w:tr>
    </w:tbl>
    <w:p w14:paraId="109FB0C4" w14:textId="77777777" w:rsidR="001106C3" w:rsidRDefault="001106C3">
      <w:pPr>
        <w:rPr>
          <w:sz w:val="20"/>
          <w:szCs w:val="20"/>
        </w:rPr>
      </w:pPr>
    </w:p>
    <w:p w14:paraId="4C5EFF13" w14:textId="77777777" w:rsidR="006032FB" w:rsidRDefault="006032FB">
      <w:pPr>
        <w:rPr>
          <w:sz w:val="20"/>
          <w:szCs w:val="20"/>
        </w:rPr>
      </w:pPr>
    </w:p>
    <w:p w14:paraId="736C5BBC" w14:textId="77777777" w:rsidR="006032FB" w:rsidRDefault="006032FB">
      <w:pPr>
        <w:rPr>
          <w:sz w:val="20"/>
          <w:szCs w:val="20"/>
        </w:rPr>
      </w:pPr>
    </w:p>
    <w:p w14:paraId="1F08215A" w14:textId="77777777" w:rsidR="006032FB" w:rsidRDefault="006032FB">
      <w:pPr>
        <w:rPr>
          <w:sz w:val="20"/>
          <w:szCs w:val="20"/>
        </w:rPr>
      </w:pPr>
    </w:p>
    <w:p w14:paraId="15F43C76" w14:textId="77777777" w:rsidR="006032FB" w:rsidRDefault="006032FB">
      <w:pPr>
        <w:rPr>
          <w:sz w:val="20"/>
          <w:szCs w:val="20"/>
        </w:rPr>
      </w:pPr>
    </w:p>
    <w:p w14:paraId="55C02846" w14:textId="52B1456B" w:rsidR="006032FB" w:rsidRPr="00DC0F42" w:rsidRDefault="006032FB">
      <w:pPr>
        <w:rPr>
          <w:b/>
          <w:i/>
        </w:rPr>
      </w:pPr>
      <w:r w:rsidRPr="00DC0F42">
        <w:rPr>
          <w:b/>
          <w:i/>
        </w:rPr>
        <w:t>Biosafety Review:</w:t>
      </w:r>
    </w:p>
    <w:p w14:paraId="62002AAB" w14:textId="77777777" w:rsidR="006032FB" w:rsidRDefault="006032FB">
      <w:pPr>
        <w:rPr>
          <w:sz w:val="20"/>
          <w:szCs w:val="20"/>
        </w:rPr>
      </w:pPr>
    </w:p>
    <w:p w14:paraId="18A8B6FC" w14:textId="77777777" w:rsidR="006032FB" w:rsidRDefault="006032FB">
      <w:pPr>
        <w:rPr>
          <w:sz w:val="20"/>
          <w:szCs w:val="20"/>
        </w:rPr>
      </w:pPr>
    </w:p>
    <w:p w14:paraId="47D5E21E" w14:textId="77777777" w:rsidR="006032FB" w:rsidRDefault="006032FB">
      <w:pPr>
        <w:rPr>
          <w:sz w:val="20"/>
          <w:szCs w:val="20"/>
        </w:rPr>
      </w:pPr>
    </w:p>
    <w:p w14:paraId="735066D2" w14:textId="75C10B76" w:rsidR="006032FB" w:rsidRDefault="006032FB">
      <w:pPr>
        <w:rPr>
          <w:sz w:val="20"/>
          <w:szCs w:val="20"/>
        </w:rPr>
      </w:pPr>
      <w:r>
        <w:rPr>
          <w:sz w:val="20"/>
          <w:szCs w:val="20"/>
        </w:rPr>
        <w:t>_______________________________________________________</w:t>
      </w:r>
    </w:p>
    <w:p w14:paraId="6E8582E4" w14:textId="5B9E635E" w:rsidR="006032FB" w:rsidRDefault="006032FB">
      <w:pPr>
        <w:rPr>
          <w:sz w:val="20"/>
          <w:szCs w:val="20"/>
        </w:rPr>
      </w:pPr>
      <w:r>
        <w:rPr>
          <w:sz w:val="20"/>
          <w:szCs w:val="20"/>
        </w:rPr>
        <w:t>Jeff LaBossiere, Biological Safety Officer</w:t>
      </w:r>
    </w:p>
    <w:p w14:paraId="12FB67BB" w14:textId="77777777" w:rsidR="006032FB" w:rsidRDefault="006032FB">
      <w:pPr>
        <w:rPr>
          <w:sz w:val="20"/>
          <w:szCs w:val="20"/>
        </w:rPr>
      </w:pPr>
    </w:p>
    <w:p w14:paraId="51C730FF" w14:textId="77777777" w:rsidR="006032FB" w:rsidRDefault="006032FB">
      <w:pPr>
        <w:rPr>
          <w:sz w:val="20"/>
          <w:szCs w:val="20"/>
        </w:rPr>
      </w:pPr>
    </w:p>
    <w:p w14:paraId="28C1420E" w14:textId="77777777" w:rsidR="001106C3" w:rsidRDefault="001106C3">
      <w:pPr>
        <w:rPr>
          <w:sz w:val="20"/>
          <w:szCs w:val="20"/>
        </w:rPr>
      </w:pPr>
    </w:p>
    <w:p w14:paraId="42990AC5" w14:textId="77777777" w:rsidR="009F46B5" w:rsidRDefault="009F46B5">
      <w:pPr>
        <w:rPr>
          <w:sz w:val="20"/>
          <w:szCs w:val="20"/>
        </w:rPr>
      </w:pPr>
    </w:p>
    <w:tbl>
      <w:tblPr>
        <w:tblStyle w:val="TableGrid"/>
        <w:tblpPr w:leftFromText="180" w:rightFromText="180" w:vertAnchor="text" w:horzAnchor="page" w:tblpX="6490" w:tblpY="-36"/>
        <w:tblW w:w="5505" w:type="dxa"/>
        <w:tblLayout w:type="fixed"/>
        <w:tblLook w:val="04A0" w:firstRow="1" w:lastRow="0" w:firstColumn="1" w:lastColumn="0" w:noHBand="0" w:noVBand="1"/>
      </w:tblPr>
      <w:tblGrid>
        <w:gridCol w:w="1345"/>
        <w:gridCol w:w="4160"/>
      </w:tblGrid>
      <w:tr w:rsidR="00897CF1" w14:paraId="03671882" w14:textId="77777777" w:rsidTr="00645944">
        <w:trPr>
          <w:trHeight w:val="172"/>
        </w:trPr>
        <w:tc>
          <w:tcPr>
            <w:tcW w:w="5505" w:type="dxa"/>
            <w:gridSpan w:val="2"/>
            <w:shd w:val="clear" w:color="auto" w:fill="538135" w:themeFill="accent6" w:themeFillShade="BF"/>
          </w:tcPr>
          <w:p w14:paraId="3E4BF79D" w14:textId="77777777" w:rsidR="00897CF1" w:rsidRPr="00266376" w:rsidRDefault="00897CF1" w:rsidP="00645944">
            <w:pPr>
              <w:rPr>
                <w:b/>
                <w:caps/>
                <w:color w:val="FFFFFF" w:themeColor="background1"/>
                <w:sz w:val="20"/>
                <w:szCs w:val="20"/>
              </w:rPr>
            </w:pPr>
            <w:r>
              <w:rPr>
                <w:b/>
                <w:caps/>
                <w:color w:val="FFFFFF" w:themeColor="background1"/>
                <w:sz w:val="20"/>
                <w:szCs w:val="20"/>
              </w:rPr>
              <w:t>References</w:t>
            </w:r>
          </w:p>
        </w:tc>
      </w:tr>
      <w:tr w:rsidR="00897CF1" w14:paraId="5A2DADD9" w14:textId="77777777" w:rsidTr="00645944">
        <w:trPr>
          <w:trHeight w:val="349"/>
        </w:trPr>
        <w:tc>
          <w:tcPr>
            <w:tcW w:w="1345" w:type="dxa"/>
          </w:tcPr>
          <w:p w14:paraId="2523D7DE" w14:textId="77777777" w:rsidR="00897CF1" w:rsidRDefault="00897CF1" w:rsidP="00645944">
            <w:pPr>
              <w:rPr>
                <w:sz w:val="20"/>
                <w:szCs w:val="20"/>
              </w:rPr>
            </w:pPr>
            <w:r>
              <w:rPr>
                <w:sz w:val="20"/>
                <w:szCs w:val="20"/>
              </w:rPr>
              <w:t>Canadian PSDS</w:t>
            </w:r>
          </w:p>
        </w:tc>
        <w:tc>
          <w:tcPr>
            <w:tcW w:w="4160" w:type="dxa"/>
          </w:tcPr>
          <w:p w14:paraId="6B1D32AB" w14:textId="77777777" w:rsidR="00897CF1" w:rsidRDefault="00490168" w:rsidP="00645944">
            <w:pPr>
              <w:rPr>
                <w:sz w:val="20"/>
                <w:szCs w:val="20"/>
              </w:rPr>
            </w:pPr>
            <w:hyperlink r:id="rId12" w:history="1">
              <w:r w:rsidR="00897CF1" w:rsidRPr="00A03FE7">
                <w:rPr>
                  <w:rStyle w:val="Hyperlink"/>
                  <w:sz w:val="20"/>
                  <w:szCs w:val="20"/>
                </w:rPr>
                <w:t>https://www.canada.ca/en/public-health/services/laboratory-biosafety-biosecurity/pathogen-safety-data-sheets-risk-assessment/human-immunodeficiency-virus.html</w:t>
              </w:r>
            </w:hyperlink>
          </w:p>
        </w:tc>
      </w:tr>
      <w:tr w:rsidR="00897CF1" w14:paraId="0E8B6410" w14:textId="77777777" w:rsidTr="00645944">
        <w:trPr>
          <w:trHeight w:val="172"/>
        </w:trPr>
        <w:tc>
          <w:tcPr>
            <w:tcW w:w="1345" w:type="dxa"/>
          </w:tcPr>
          <w:p w14:paraId="2573550B" w14:textId="77777777" w:rsidR="00897CF1" w:rsidRDefault="00897CF1" w:rsidP="00645944">
            <w:pPr>
              <w:rPr>
                <w:sz w:val="20"/>
                <w:szCs w:val="20"/>
              </w:rPr>
            </w:pPr>
            <w:r>
              <w:rPr>
                <w:sz w:val="20"/>
                <w:szCs w:val="20"/>
              </w:rPr>
              <w:t>BMBL</w:t>
            </w:r>
          </w:p>
        </w:tc>
        <w:tc>
          <w:tcPr>
            <w:tcW w:w="4160" w:type="dxa"/>
          </w:tcPr>
          <w:p w14:paraId="54926076" w14:textId="77777777" w:rsidR="00897CF1" w:rsidRDefault="00490168" w:rsidP="00645944">
            <w:pPr>
              <w:rPr>
                <w:sz w:val="20"/>
                <w:szCs w:val="20"/>
              </w:rPr>
            </w:pPr>
            <w:hyperlink r:id="rId13" w:history="1">
              <w:r w:rsidR="00897CF1" w:rsidRPr="00045850">
                <w:rPr>
                  <w:rStyle w:val="Hyperlink"/>
                  <w:sz w:val="20"/>
                  <w:szCs w:val="20"/>
                </w:rPr>
                <w:t>https://www.cdc.gov/biosafety/publications/bmbl5/</w:t>
              </w:r>
            </w:hyperlink>
          </w:p>
        </w:tc>
      </w:tr>
      <w:tr w:rsidR="00897CF1" w14:paraId="05674291" w14:textId="77777777" w:rsidTr="00645944">
        <w:trPr>
          <w:trHeight w:val="358"/>
        </w:trPr>
        <w:tc>
          <w:tcPr>
            <w:tcW w:w="1345" w:type="dxa"/>
          </w:tcPr>
          <w:p w14:paraId="148A8172" w14:textId="77777777" w:rsidR="00897CF1" w:rsidRDefault="00897CF1" w:rsidP="00645944">
            <w:pPr>
              <w:rPr>
                <w:sz w:val="20"/>
                <w:szCs w:val="20"/>
              </w:rPr>
            </w:pPr>
            <w:r>
              <w:rPr>
                <w:sz w:val="20"/>
                <w:szCs w:val="20"/>
              </w:rPr>
              <w:t xml:space="preserve">CDC Guidelines </w:t>
            </w:r>
          </w:p>
        </w:tc>
        <w:tc>
          <w:tcPr>
            <w:tcW w:w="4160" w:type="dxa"/>
          </w:tcPr>
          <w:p w14:paraId="2094BEC5" w14:textId="77777777" w:rsidR="00897CF1" w:rsidRDefault="00490168" w:rsidP="00645944">
            <w:pPr>
              <w:rPr>
                <w:sz w:val="20"/>
                <w:szCs w:val="20"/>
              </w:rPr>
            </w:pPr>
            <w:hyperlink r:id="rId14" w:history="1">
              <w:r w:rsidR="00897CF1" w:rsidRPr="00983E8F">
                <w:rPr>
                  <w:rStyle w:val="Hyperlink"/>
                  <w:sz w:val="20"/>
                  <w:szCs w:val="20"/>
                </w:rPr>
                <w:t>https://www.cdc.gov/actagainstaids/basics/index.html</w:t>
              </w:r>
            </w:hyperlink>
          </w:p>
        </w:tc>
      </w:tr>
      <w:tr w:rsidR="00897CF1" w14:paraId="2F85C859" w14:textId="77777777" w:rsidTr="00645944">
        <w:trPr>
          <w:trHeight w:val="1252"/>
        </w:trPr>
        <w:tc>
          <w:tcPr>
            <w:tcW w:w="1345" w:type="dxa"/>
          </w:tcPr>
          <w:p w14:paraId="65717496" w14:textId="77777777" w:rsidR="00897CF1" w:rsidRDefault="00897CF1" w:rsidP="00645944">
            <w:pPr>
              <w:rPr>
                <w:sz w:val="20"/>
                <w:szCs w:val="20"/>
              </w:rPr>
            </w:pPr>
            <w:r>
              <w:rPr>
                <w:sz w:val="20"/>
                <w:szCs w:val="20"/>
              </w:rPr>
              <w:t>Current Protocols in Microbiology</w:t>
            </w:r>
          </w:p>
        </w:tc>
        <w:tc>
          <w:tcPr>
            <w:tcW w:w="4160" w:type="dxa"/>
          </w:tcPr>
          <w:p w14:paraId="4C929C5F" w14:textId="77777777" w:rsidR="00897CF1" w:rsidRDefault="00490168" w:rsidP="00645944">
            <w:pPr>
              <w:rPr>
                <w:sz w:val="20"/>
                <w:szCs w:val="20"/>
              </w:rPr>
            </w:pPr>
            <w:hyperlink r:id="rId15" w:history="1">
              <w:r w:rsidR="00897CF1" w:rsidRPr="004827E9">
                <w:rPr>
                  <w:rStyle w:val="Hyperlink"/>
                  <w:sz w:val="20"/>
                  <w:szCs w:val="20"/>
                </w:rPr>
                <w:t>http://onlinelibrary.wiley.com/doi/10.1002/9780471729259.mc15j01s28/abstract</w:t>
              </w:r>
            </w:hyperlink>
          </w:p>
        </w:tc>
      </w:tr>
    </w:tbl>
    <w:p w14:paraId="7B9AA971" w14:textId="77777777" w:rsidR="00266376" w:rsidRDefault="00266376">
      <w:pPr>
        <w:rPr>
          <w:sz w:val="20"/>
          <w:szCs w:val="20"/>
        </w:rPr>
      </w:pPr>
    </w:p>
    <w:p w14:paraId="24634B8B" w14:textId="77777777" w:rsidR="0091239C" w:rsidRDefault="0091239C">
      <w:pPr>
        <w:rPr>
          <w:sz w:val="20"/>
          <w:szCs w:val="20"/>
        </w:rPr>
      </w:pPr>
    </w:p>
    <w:p w14:paraId="6A9BC5F1" w14:textId="77777777" w:rsidR="00C13ABF" w:rsidRDefault="00C13ABF">
      <w:pPr>
        <w:rPr>
          <w:sz w:val="20"/>
          <w:szCs w:val="20"/>
        </w:rPr>
      </w:pPr>
    </w:p>
    <w:p w14:paraId="7505A589" w14:textId="77777777" w:rsidR="00C13ABF" w:rsidRDefault="00C13ABF">
      <w:pPr>
        <w:rPr>
          <w:sz w:val="20"/>
          <w:szCs w:val="20"/>
        </w:rPr>
      </w:pPr>
    </w:p>
    <w:p w14:paraId="14795EEF" w14:textId="77777777" w:rsidR="00C13ABF" w:rsidRDefault="00C13ABF">
      <w:pPr>
        <w:rPr>
          <w:sz w:val="20"/>
          <w:szCs w:val="20"/>
        </w:rPr>
      </w:pPr>
    </w:p>
    <w:p w14:paraId="0F3BC461" w14:textId="77777777" w:rsidR="00C13ABF" w:rsidRDefault="00C13ABF">
      <w:pPr>
        <w:rPr>
          <w:sz w:val="20"/>
          <w:szCs w:val="20"/>
        </w:rPr>
      </w:pPr>
    </w:p>
    <w:p w14:paraId="02E970A5" w14:textId="77777777" w:rsidR="00C13ABF" w:rsidRDefault="00C13ABF">
      <w:pPr>
        <w:rPr>
          <w:sz w:val="20"/>
          <w:szCs w:val="20"/>
        </w:rPr>
      </w:pPr>
    </w:p>
    <w:p w14:paraId="74AC63B0" w14:textId="77777777" w:rsidR="00C13ABF" w:rsidRDefault="00C13ABF">
      <w:pPr>
        <w:rPr>
          <w:sz w:val="20"/>
          <w:szCs w:val="20"/>
        </w:rPr>
      </w:pPr>
    </w:p>
    <w:p w14:paraId="1055C7CD" w14:textId="77777777" w:rsidR="0091239C" w:rsidRDefault="0091239C">
      <w:pPr>
        <w:rPr>
          <w:sz w:val="20"/>
          <w:szCs w:val="20"/>
        </w:rPr>
      </w:pPr>
    </w:p>
    <w:p w14:paraId="45DEC5B6" w14:textId="77777777" w:rsidR="0091239C" w:rsidRDefault="0091239C">
      <w:pPr>
        <w:rPr>
          <w:sz w:val="20"/>
          <w:szCs w:val="20"/>
        </w:rPr>
      </w:pPr>
    </w:p>
    <w:p w14:paraId="0E53A07A" w14:textId="77777777" w:rsidR="0091239C" w:rsidRDefault="0091239C">
      <w:pPr>
        <w:rPr>
          <w:sz w:val="20"/>
          <w:szCs w:val="20"/>
        </w:rPr>
      </w:pPr>
    </w:p>
    <w:p w14:paraId="39401521" w14:textId="77777777" w:rsidR="0091239C" w:rsidRDefault="0091239C">
      <w:pPr>
        <w:rPr>
          <w:sz w:val="20"/>
          <w:szCs w:val="20"/>
        </w:rPr>
      </w:pPr>
    </w:p>
    <w:p w14:paraId="52060099" w14:textId="77777777" w:rsidR="006032FB" w:rsidRDefault="006032FB">
      <w:pPr>
        <w:rPr>
          <w:sz w:val="20"/>
          <w:szCs w:val="20"/>
        </w:rPr>
      </w:pPr>
    </w:p>
    <w:p w14:paraId="4B51CBD7" w14:textId="77777777" w:rsidR="006032FB" w:rsidRDefault="006032FB">
      <w:pPr>
        <w:rPr>
          <w:sz w:val="20"/>
          <w:szCs w:val="20"/>
        </w:rPr>
      </w:pPr>
    </w:p>
    <w:p w14:paraId="1C05E447" w14:textId="77777777" w:rsidR="006032FB" w:rsidRDefault="006032FB">
      <w:pPr>
        <w:rPr>
          <w:sz w:val="20"/>
          <w:szCs w:val="20"/>
        </w:rPr>
      </w:pPr>
    </w:p>
    <w:p w14:paraId="29134439" w14:textId="77777777" w:rsidR="006032FB" w:rsidRDefault="006032FB">
      <w:pPr>
        <w:rPr>
          <w:sz w:val="20"/>
          <w:szCs w:val="20"/>
        </w:rPr>
      </w:pPr>
    </w:p>
    <w:p w14:paraId="632CFCAC" w14:textId="77777777" w:rsidR="006032FB" w:rsidRDefault="006032FB">
      <w:pPr>
        <w:rPr>
          <w:sz w:val="20"/>
          <w:szCs w:val="20"/>
        </w:rPr>
      </w:pPr>
    </w:p>
    <w:p w14:paraId="578E7604" w14:textId="77777777" w:rsidR="006032FB" w:rsidRDefault="006032FB">
      <w:pPr>
        <w:rPr>
          <w:sz w:val="20"/>
          <w:szCs w:val="20"/>
        </w:rPr>
      </w:pPr>
    </w:p>
    <w:p w14:paraId="780D10A1" w14:textId="77777777" w:rsidR="00986BD1" w:rsidRDefault="00986BD1">
      <w:pPr>
        <w:rPr>
          <w:sz w:val="20"/>
          <w:szCs w:val="20"/>
        </w:rPr>
      </w:pPr>
    </w:p>
    <w:p w14:paraId="4FE634A4" w14:textId="2E4D2E91" w:rsidR="006032FB" w:rsidRDefault="006032FB">
      <w:pPr>
        <w:rPr>
          <w:sz w:val="20"/>
          <w:szCs w:val="20"/>
        </w:rPr>
      </w:pPr>
      <w:r>
        <w:rPr>
          <w:sz w:val="20"/>
          <w:szCs w:val="20"/>
        </w:rPr>
        <w:t>____________________________</w:t>
      </w:r>
    </w:p>
    <w:p w14:paraId="6A775E4A" w14:textId="2746A115" w:rsidR="0091239C" w:rsidRDefault="006032FB">
      <w:pPr>
        <w:rPr>
          <w:sz w:val="20"/>
          <w:szCs w:val="20"/>
        </w:rPr>
      </w:pPr>
      <w:r>
        <w:rPr>
          <w:sz w:val="20"/>
          <w:szCs w:val="20"/>
        </w:rPr>
        <w:t>Date</w:t>
      </w:r>
    </w:p>
    <w:p w14:paraId="00692BC8" w14:textId="77777777" w:rsidR="0091239C" w:rsidRDefault="0091239C">
      <w:pPr>
        <w:rPr>
          <w:sz w:val="20"/>
          <w:szCs w:val="20"/>
        </w:rPr>
      </w:pPr>
    </w:p>
    <w:p w14:paraId="5DC14489" w14:textId="77777777" w:rsidR="0091239C" w:rsidRDefault="0091239C">
      <w:pPr>
        <w:rPr>
          <w:sz w:val="20"/>
          <w:szCs w:val="20"/>
        </w:rPr>
      </w:pPr>
    </w:p>
    <w:p w14:paraId="5F861234" w14:textId="3FA8BC89" w:rsidR="004A786C" w:rsidRPr="00F15A99" w:rsidRDefault="004A786C">
      <w:pPr>
        <w:rPr>
          <w:sz w:val="20"/>
          <w:szCs w:val="20"/>
        </w:rPr>
      </w:pPr>
    </w:p>
    <w:sectPr w:rsidR="004A786C" w:rsidRPr="00F15A99" w:rsidSect="009F46B5">
      <w:type w:val="continuous"/>
      <w:pgSz w:w="12240" w:h="15840"/>
      <w:pgMar w:top="216" w:right="245" w:bottom="245" w:left="216" w:header="144" w:footer="144" w:gutter="0"/>
      <w:cols w:num="2" w:space="720" w:equalWidth="0">
        <w:col w:w="5544" w:space="720"/>
        <w:col w:w="55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C782" w14:textId="77777777" w:rsidR="00490168" w:rsidRDefault="00490168" w:rsidP="00F15A99">
      <w:r>
        <w:separator/>
      </w:r>
    </w:p>
  </w:endnote>
  <w:endnote w:type="continuationSeparator" w:id="0">
    <w:p w14:paraId="6257E47F" w14:textId="77777777" w:rsidR="00490168" w:rsidRDefault="00490168" w:rsidP="00F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7F35" w14:textId="379714DD" w:rsidR="001106C3" w:rsidRDefault="001106C3">
    <w:pPr>
      <w:pStyle w:val="Footer"/>
    </w:pPr>
    <w:r>
      <w:t xml:space="preserve">Principal Investigator: ___________________________________     IBC </w:t>
    </w:r>
    <w:r w:rsidR="00362BAA">
      <w:t>Registration</w:t>
    </w:r>
    <w:r>
      <w:t xml:space="preserve"> #: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84B0E" w14:textId="77777777" w:rsidR="00490168" w:rsidRDefault="00490168" w:rsidP="00F15A99">
      <w:r>
        <w:separator/>
      </w:r>
    </w:p>
  </w:footnote>
  <w:footnote w:type="continuationSeparator" w:id="0">
    <w:p w14:paraId="534903AF" w14:textId="77777777" w:rsidR="00490168" w:rsidRDefault="00490168" w:rsidP="00F1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1C2A" w14:textId="55ECA1BD" w:rsidR="00F15A99" w:rsidRDefault="00F15A99" w:rsidP="00F15A99">
    <w:pPr>
      <w:pStyle w:val="Header"/>
    </w:pPr>
    <w:r>
      <w:rPr>
        <w:noProof/>
      </w:rPr>
      <w:drawing>
        <wp:inline distT="0" distB="0" distL="0" distR="0" wp14:anchorId="6BACC014" wp14:editId="5D51AB9C">
          <wp:extent cx="1255772" cy="463973"/>
          <wp:effectExtent l="0" t="0" r="0" b="0"/>
          <wp:docPr id="3" name="Picture 3" descr="/Users/uvmaffiliate/Desktop/towerlogo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uvmaffiliate/Desktop/towerlogo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229" cy="490005"/>
                  </a:xfrm>
                  <a:prstGeom prst="rect">
                    <a:avLst/>
                  </a:prstGeom>
                  <a:noFill/>
                  <a:ln>
                    <a:noFill/>
                  </a:ln>
                </pic:spPr>
              </pic:pic>
            </a:graphicData>
          </a:graphic>
        </wp:inline>
      </w:drawing>
    </w:r>
    <w:r>
      <w:t xml:space="preserve">     </w:t>
    </w:r>
  </w:p>
  <w:p w14:paraId="36804E66" w14:textId="77777777" w:rsidR="00F15A99" w:rsidRDefault="00F15A99" w:rsidP="00F15A99">
    <w:pPr>
      <w:pStyle w:val="Header"/>
      <w:rPr>
        <w:sz w:val="21"/>
        <w:szCs w:val="21"/>
      </w:rPr>
    </w:pPr>
    <w:r w:rsidRPr="00F15A99">
      <w:rPr>
        <w:sz w:val="21"/>
        <w:szCs w:val="21"/>
      </w:rPr>
      <w:t xml:space="preserve">  Risk Management &amp; Safet</w:t>
    </w:r>
    <w:r>
      <w:rPr>
        <w:sz w:val="21"/>
        <w:szCs w:val="21"/>
      </w:rPr>
      <w:t>y</w:t>
    </w:r>
  </w:p>
  <w:p w14:paraId="734C8268" w14:textId="392BE053" w:rsidR="00F15A99" w:rsidRPr="00F15A99" w:rsidRDefault="00F15A99" w:rsidP="00F15A99">
    <w:pPr>
      <w:pStyle w:val="Header"/>
      <w:rPr>
        <w:sz w:val="21"/>
        <w:szCs w:val="21"/>
      </w:rPr>
    </w:pPr>
    <w:r>
      <w:rPr>
        <w:sz w:val="21"/>
        <w:szCs w:val="21"/>
      </w:rPr>
      <w:t xml:space="preserve">  </w:t>
    </w:r>
    <w:r w:rsidRPr="00F15A99">
      <w:rPr>
        <w:sz w:val="21"/>
        <w:szCs w:val="21"/>
      </w:rPr>
      <w:t>Biosafety Office</w:t>
    </w:r>
    <w:r w:rsidRPr="00F15A99">
      <w:rPr>
        <w:b/>
        <w:caps/>
        <w:color w:val="538135" w:themeColor="accent6" w:themeShade="BF"/>
        <w:sz w:val="28"/>
        <w:szCs w:val="28"/>
      </w:rPr>
      <w:t xml:space="preserve"> </w:t>
    </w:r>
    <w:r>
      <w:rPr>
        <w:b/>
        <w:caps/>
        <w:color w:val="538135" w:themeColor="accent6" w:themeShade="BF"/>
        <w:sz w:val="28"/>
        <w:szCs w:val="28"/>
      </w:rPr>
      <w:t xml:space="preserve">                                </w:t>
    </w:r>
    <w:r w:rsidRPr="00356EE4">
      <w:rPr>
        <w:b/>
        <w:caps/>
        <w:color w:val="538135" w:themeColor="accent6" w:themeShade="BF"/>
        <w:sz w:val="28"/>
        <w:szCs w:val="28"/>
      </w:rPr>
      <w:t>Bio</w:t>
    </w:r>
    <w:r w:rsidR="00C13ABF">
      <w:rPr>
        <w:b/>
        <w:caps/>
        <w:color w:val="538135" w:themeColor="accent6" w:themeShade="BF"/>
        <w:sz w:val="28"/>
        <w:szCs w:val="28"/>
      </w:rPr>
      <w:t>hazardous</w:t>
    </w:r>
    <w:r w:rsidRPr="00356EE4">
      <w:rPr>
        <w:b/>
        <w:caps/>
        <w:color w:val="538135" w:themeColor="accent6" w:themeShade="BF"/>
        <w:sz w:val="28"/>
        <w:szCs w:val="28"/>
      </w:rPr>
      <w:t xml:space="preserve"> Agent Reference </w:t>
    </w:r>
    <w:r w:rsidR="00C13ABF">
      <w:rPr>
        <w:b/>
        <w:caps/>
        <w:color w:val="538135" w:themeColor="accent6" w:themeShade="BF"/>
        <w:sz w:val="28"/>
        <w:szCs w:val="28"/>
      </w:rPr>
      <w:t>document</w:t>
    </w:r>
  </w:p>
  <w:p w14:paraId="76065042" w14:textId="534BFD1F" w:rsidR="0088621B" w:rsidRDefault="00897CF1" w:rsidP="00C13ABF">
    <w:pPr>
      <w:jc w:val="center"/>
    </w:pPr>
    <w:r>
      <w:t>Human Immunodeficiency Virus (HIV-1)</w:t>
    </w:r>
  </w:p>
  <w:p w14:paraId="5933CA70" w14:textId="77777777" w:rsidR="00F15A99" w:rsidRPr="00F15A99" w:rsidRDefault="00F15A99" w:rsidP="00F15A99">
    <w:pPr>
      <w:pStyle w:val="Header"/>
      <w:rPr>
        <w:sz w:val="21"/>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82C8E"/>
    <w:multiLevelType w:val="hybridMultilevel"/>
    <w:tmpl w:val="EC2A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E261DA"/>
    <w:multiLevelType w:val="hybridMultilevel"/>
    <w:tmpl w:val="903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99"/>
    <w:rsid w:val="000C38A1"/>
    <w:rsid w:val="00105D81"/>
    <w:rsid w:val="001106C3"/>
    <w:rsid w:val="001137DE"/>
    <w:rsid w:val="00114749"/>
    <w:rsid w:val="0011612B"/>
    <w:rsid w:val="001B42D0"/>
    <w:rsid w:val="001C3B8D"/>
    <w:rsid w:val="001D427C"/>
    <w:rsid w:val="002533BB"/>
    <w:rsid w:val="00266376"/>
    <w:rsid w:val="002920ED"/>
    <w:rsid w:val="00304CD8"/>
    <w:rsid w:val="00362BAA"/>
    <w:rsid w:val="00371EBB"/>
    <w:rsid w:val="00395ADB"/>
    <w:rsid w:val="00487C23"/>
    <w:rsid w:val="00490168"/>
    <w:rsid w:val="00494CB7"/>
    <w:rsid w:val="004A5500"/>
    <w:rsid w:val="004A5652"/>
    <w:rsid w:val="004A786C"/>
    <w:rsid w:val="004D0C5D"/>
    <w:rsid w:val="004E49AA"/>
    <w:rsid w:val="004F4CD9"/>
    <w:rsid w:val="005733C9"/>
    <w:rsid w:val="005A175C"/>
    <w:rsid w:val="005A7343"/>
    <w:rsid w:val="006032FB"/>
    <w:rsid w:val="006779A8"/>
    <w:rsid w:val="00680AC1"/>
    <w:rsid w:val="006B782C"/>
    <w:rsid w:val="006F3EB5"/>
    <w:rsid w:val="007744F5"/>
    <w:rsid w:val="00775188"/>
    <w:rsid w:val="007E03EE"/>
    <w:rsid w:val="00826698"/>
    <w:rsid w:val="00826ADC"/>
    <w:rsid w:val="008430F7"/>
    <w:rsid w:val="008603B3"/>
    <w:rsid w:val="008643D3"/>
    <w:rsid w:val="0088621B"/>
    <w:rsid w:val="00897CF1"/>
    <w:rsid w:val="008A0AA4"/>
    <w:rsid w:val="0091239C"/>
    <w:rsid w:val="00914B88"/>
    <w:rsid w:val="00923D90"/>
    <w:rsid w:val="00972C62"/>
    <w:rsid w:val="00986BD1"/>
    <w:rsid w:val="0098772A"/>
    <w:rsid w:val="009C2576"/>
    <w:rsid w:val="009E6568"/>
    <w:rsid w:val="009F46B5"/>
    <w:rsid w:val="00AE6570"/>
    <w:rsid w:val="00B1093C"/>
    <w:rsid w:val="00B11E2C"/>
    <w:rsid w:val="00B53671"/>
    <w:rsid w:val="00C13ABF"/>
    <w:rsid w:val="00CD543C"/>
    <w:rsid w:val="00CE3CBB"/>
    <w:rsid w:val="00CF125E"/>
    <w:rsid w:val="00D04FF9"/>
    <w:rsid w:val="00D40135"/>
    <w:rsid w:val="00D67EC6"/>
    <w:rsid w:val="00DC0F42"/>
    <w:rsid w:val="00DF74DC"/>
    <w:rsid w:val="00E37F21"/>
    <w:rsid w:val="00E4335D"/>
    <w:rsid w:val="00E62D04"/>
    <w:rsid w:val="00F04586"/>
    <w:rsid w:val="00F15A99"/>
    <w:rsid w:val="00F608AC"/>
    <w:rsid w:val="00FB64F1"/>
    <w:rsid w:val="00FC4DA2"/>
    <w:rsid w:val="00FD3D3E"/>
    <w:rsid w:val="00FD52B8"/>
    <w:rsid w:val="00FE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72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A9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99"/>
    <w:pPr>
      <w:tabs>
        <w:tab w:val="center" w:pos="4680"/>
        <w:tab w:val="right" w:pos="9360"/>
      </w:tabs>
    </w:pPr>
  </w:style>
  <w:style w:type="character" w:customStyle="1" w:styleId="HeaderChar">
    <w:name w:val="Header Char"/>
    <w:basedOn w:val="DefaultParagraphFont"/>
    <w:link w:val="Header"/>
    <w:uiPriority w:val="99"/>
    <w:rsid w:val="00F15A99"/>
  </w:style>
  <w:style w:type="paragraph" w:styleId="Footer">
    <w:name w:val="footer"/>
    <w:basedOn w:val="Normal"/>
    <w:link w:val="FooterChar"/>
    <w:uiPriority w:val="99"/>
    <w:unhideWhenUsed/>
    <w:rsid w:val="00F15A99"/>
    <w:pPr>
      <w:tabs>
        <w:tab w:val="center" w:pos="4680"/>
        <w:tab w:val="right" w:pos="9360"/>
      </w:tabs>
    </w:pPr>
  </w:style>
  <w:style w:type="character" w:customStyle="1" w:styleId="FooterChar">
    <w:name w:val="Footer Char"/>
    <w:basedOn w:val="DefaultParagraphFont"/>
    <w:link w:val="Footer"/>
    <w:uiPriority w:val="99"/>
    <w:rsid w:val="00F15A99"/>
  </w:style>
  <w:style w:type="character" w:customStyle="1" w:styleId="Heading1Char">
    <w:name w:val="Heading 1 Char"/>
    <w:basedOn w:val="DefaultParagraphFont"/>
    <w:link w:val="Heading1"/>
    <w:uiPriority w:val="9"/>
    <w:rsid w:val="00F15A9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1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8AC"/>
    <w:rPr>
      <w:color w:val="0563C1" w:themeColor="hyperlink"/>
      <w:u w:val="single"/>
    </w:rPr>
  </w:style>
  <w:style w:type="paragraph" w:styleId="ListParagraph">
    <w:name w:val="List Paragraph"/>
    <w:basedOn w:val="Normal"/>
    <w:uiPriority w:val="34"/>
    <w:qFormat/>
    <w:rsid w:val="005A175C"/>
    <w:pPr>
      <w:ind w:left="720"/>
      <w:contextualSpacing/>
    </w:pPr>
  </w:style>
  <w:style w:type="paragraph" w:styleId="BalloonText">
    <w:name w:val="Balloon Text"/>
    <w:basedOn w:val="Normal"/>
    <w:link w:val="BalloonTextChar"/>
    <w:uiPriority w:val="99"/>
    <w:semiHidden/>
    <w:unhideWhenUsed/>
    <w:rsid w:val="004A5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652"/>
    <w:rPr>
      <w:rFonts w:ascii="Segoe UI" w:hAnsi="Segoe UI" w:cs="Segoe UI"/>
      <w:sz w:val="18"/>
      <w:szCs w:val="18"/>
    </w:rPr>
  </w:style>
  <w:style w:type="character" w:styleId="FollowedHyperlink">
    <w:name w:val="FollowedHyperlink"/>
    <w:basedOn w:val="DefaultParagraphFont"/>
    <w:uiPriority w:val="99"/>
    <w:semiHidden/>
    <w:unhideWhenUsed/>
    <w:rsid w:val="002533BB"/>
    <w:rPr>
      <w:color w:val="954F72" w:themeColor="followedHyperlink"/>
      <w:u w:val="single"/>
    </w:rPr>
  </w:style>
  <w:style w:type="paragraph" w:styleId="NormalWeb">
    <w:name w:val="Normal (Web)"/>
    <w:basedOn w:val="Normal"/>
    <w:uiPriority w:val="99"/>
    <w:semiHidden/>
    <w:unhideWhenUsed/>
    <w:rsid w:val="000C38A1"/>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8458">
      <w:bodyDiv w:val="1"/>
      <w:marLeft w:val="0"/>
      <w:marRight w:val="0"/>
      <w:marTop w:val="0"/>
      <w:marBottom w:val="0"/>
      <w:divBdr>
        <w:top w:val="none" w:sz="0" w:space="0" w:color="auto"/>
        <w:left w:val="none" w:sz="0" w:space="0" w:color="auto"/>
        <w:bottom w:val="none" w:sz="0" w:space="0" w:color="auto"/>
        <w:right w:val="none" w:sz="0" w:space="0" w:color="auto"/>
      </w:divBdr>
    </w:div>
    <w:div w:id="685443631">
      <w:bodyDiv w:val="1"/>
      <w:marLeft w:val="0"/>
      <w:marRight w:val="0"/>
      <w:marTop w:val="0"/>
      <w:marBottom w:val="0"/>
      <w:divBdr>
        <w:top w:val="none" w:sz="0" w:space="0" w:color="auto"/>
        <w:left w:val="none" w:sz="0" w:space="0" w:color="auto"/>
        <w:bottom w:val="none" w:sz="0" w:space="0" w:color="auto"/>
        <w:right w:val="none" w:sz="0" w:space="0" w:color="auto"/>
      </w:divBdr>
    </w:div>
    <w:div w:id="1284966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biosafety/publications/bmbl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anada.ca/en/public-health/services/laboratory-biosafety-biosecurity/pathogen-safety-data-sheets-risk-assessment/human-immunodeficiency-viru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riskmanagement/incident-claim-reporting-procedures" TargetMode="External"/><Relationship Id="rId5" Type="http://schemas.openxmlformats.org/officeDocument/2006/relationships/footnotes" Target="footnotes.xml"/><Relationship Id="rId15" Type="http://schemas.openxmlformats.org/officeDocument/2006/relationships/hyperlink" Target="http://onlinelibrary.wiley.com/doi/10.1002/9780471729259.mc15j01s28/abstract" TargetMode="External"/><Relationship Id="rId10" Type="http://schemas.openxmlformats.org/officeDocument/2006/relationships/hyperlink" Target="http://www.uvm.edu/safety/lab/bloodborne-pathogens-and-exposure-control-plan" TargetMode="External"/><Relationship Id="rId4" Type="http://schemas.openxmlformats.org/officeDocument/2006/relationships/webSettings" Target="webSettings.xml"/><Relationship Id="rId9" Type="http://schemas.openxmlformats.org/officeDocument/2006/relationships/hyperlink" Target="https://www.uvm.edu/rpo/biosafety-oversight" TargetMode="External"/><Relationship Id="rId14" Type="http://schemas.openxmlformats.org/officeDocument/2006/relationships/hyperlink" Target="https://www.cdc.gov/actagainstaids/basic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LaBossiere</dc:creator>
  <cp:keywords/>
  <dc:description/>
  <cp:lastModifiedBy>Sarah Roy</cp:lastModifiedBy>
  <cp:revision>8</cp:revision>
  <cp:lastPrinted>2017-06-13T17:58:00Z</cp:lastPrinted>
  <dcterms:created xsi:type="dcterms:W3CDTF">2018-09-06T17:06:00Z</dcterms:created>
  <dcterms:modified xsi:type="dcterms:W3CDTF">2019-10-09T19:26:00Z</dcterms:modified>
</cp:coreProperties>
</file>