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F321" w14:textId="5BDA432A" w:rsidR="009F46B5" w:rsidRDefault="009F46B5"/>
    <w:p w14:paraId="2A9F28F2" w14:textId="77777777" w:rsidR="009F46B5" w:rsidRDefault="009F46B5">
      <w:pPr>
        <w:rPr>
          <w:b/>
        </w:rPr>
      </w:pPr>
      <w:r w:rsidRPr="009F46B5">
        <w:rPr>
          <w:b/>
        </w:rPr>
        <w:tab/>
      </w:r>
    </w:p>
    <w:p w14:paraId="5348602F" w14:textId="77777777" w:rsidR="009F46B5" w:rsidRDefault="009F46B5" w:rsidP="009F46B5">
      <w:pPr>
        <w:rPr>
          <w:rFonts w:ascii="Arial" w:eastAsia="Times New Roman" w:hAnsi="Arial" w:cs="Arial"/>
          <w:color w:val="454545"/>
          <w:sz w:val="18"/>
          <w:szCs w:val="18"/>
          <w:shd w:val="clear" w:color="auto" w:fill="FFFFFF"/>
        </w:rPr>
        <w:sectPr w:rsidR="009F46B5" w:rsidSect="0091239C">
          <w:headerReference w:type="default" r:id="rId8"/>
          <w:footerReference w:type="default" r:id="rId9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255BEECC" w14:textId="77777777" w:rsidR="001D427C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 w:rsidR="001D427C"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7E0FD7C6" w14:textId="7DC8B796" w:rsidR="00923D90" w:rsidRDefault="009F46B5" w:rsidP="001D427C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The BARD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 w:rsidR="00516FE6">
        <w:rPr>
          <w:rFonts w:eastAsia="Times New Roman" w:cstheme="minorHAnsi"/>
          <w:color w:val="454545"/>
          <w:shd w:val="clear" w:color="auto" w:fill="FFFFFF"/>
        </w:rPr>
        <w:t>may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671785">
        <w:rPr>
          <w:rFonts w:eastAsia="Times New Roman" w:cstheme="minorHAnsi"/>
          <w:color w:val="454545"/>
          <w:shd w:val="clear" w:color="auto" w:fill="FFFFFF"/>
        </w:rPr>
        <w:t>registrations</w:t>
      </w:r>
      <w:r w:rsidR="00923D90">
        <w:rPr>
          <w:rFonts w:eastAsia="Times New Roman" w:cstheme="minorHAnsi"/>
          <w:color w:val="454545"/>
          <w:shd w:val="clear" w:color="auto" w:fill="FFFFFF"/>
        </w:rPr>
        <w:t xml:space="preserve">. </w:t>
      </w:r>
    </w:p>
    <w:p w14:paraId="60E11C27" w14:textId="77777777" w:rsidR="00923D90" w:rsidRDefault="00923D90" w:rsidP="00923D90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4FD00A7A" w14:textId="2F0F8742" w:rsidR="00923D90" w:rsidRPr="00671785" w:rsidRDefault="00923D90" w:rsidP="00671785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10" w:tgtFrame="_blank" w:history="1">
        <w:r w:rsidR="00671785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516FE6">
        <w:rPr>
          <w:rFonts w:cstheme="minorHAnsi"/>
          <w:color w:val="454545"/>
          <w:shd w:val="clear" w:color="auto" w:fill="FFFFFF"/>
        </w:rPr>
        <w:t>all</w:t>
      </w:r>
      <w:r w:rsidRPr="00923D90">
        <w:rPr>
          <w:rFonts w:cstheme="minorHAnsi"/>
          <w:color w:val="454545"/>
          <w:shd w:val="clear" w:color="auto" w:fill="FFFFFF"/>
        </w:rPr>
        <w:t xml:space="preserve"> personnel have read, understood, and signed the document.</w:t>
      </w:r>
      <w:r>
        <w:rPr>
          <w:rFonts w:cstheme="minorHAnsi"/>
        </w:rPr>
        <w:t xml:space="preserve">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>The BARD is for informational purposes only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, </w:t>
      </w:r>
      <w:r w:rsidR="009F46B5" w:rsidRPr="00923D90">
        <w:rPr>
          <w:rFonts w:eastAsia="Times New Roman" w:cstheme="minorHAnsi"/>
          <w:color w:val="454545"/>
          <w:shd w:val="clear" w:color="auto" w:fill="FFFFFF"/>
        </w:rPr>
        <w:t xml:space="preserve">and is not intended to be a substitute for professional medical advice, diagnosis, or treatment. </w:t>
      </w:r>
    </w:p>
    <w:p w14:paraId="3BFC4AEF" w14:textId="7B2ECC53" w:rsidR="009F46B5" w:rsidRPr="00923D90" w:rsidRDefault="009F46B5" w:rsidP="00923D90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413A3B4F" w14:textId="77777777" w:rsidR="009F46B5" w:rsidRPr="009F46B5" w:rsidRDefault="009F46B5">
      <w:pPr>
        <w:rPr>
          <w:rFonts w:cstheme="minorHAnsi"/>
          <w:b/>
        </w:rPr>
      </w:pPr>
    </w:p>
    <w:p w14:paraId="72022DEC" w14:textId="77777777" w:rsidR="009F46B5" w:rsidRPr="009F46B5" w:rsidRDefault="009F46B5">
      <w:pPr>
        <w:rPr>
          <w:rFonts w:cstheme="minorHAnsi"/>
          <w:b/>
        </w:rPr>
      </w:pPr>
    </w:p>
    <w:p w14:paraId="56B072D4" w14:textId="65AD7784" w:rsidR="00923D90" w:rsidRPr="00923D90" w:rsidRDefault="009F46B5" w:rsidP="00923D90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2EBCDE3C" w14:textId="77777777" w:rsidR="00923D90" w:rsidRPr="00923D90" w:rsidRDefault="00923D90" w:rsidP="009F46B5">
      <w:pPr>
        <w:ind w:firstLine="720"/>
        <w:rPr>
          <w:rFonts w:cstheme="minorHAnsi"/>
          <w:b/>
        </w:rPr>
      </w:pPr>
    </w:p>
    <w:p w14:paraId="5D39706A" w14:textId="68670C95" w:rsidR="00923D90" w:rsidRP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 w:rsidR="001D427C">
        <w:rPr>
          <w:rFonts w:cstheme="minorHAnsi"/>
          <w:b/>
        </w:rPr>
        <w:t>.</w:t>
      </w:r>
    </w:p>
    <w:p w14:paraId="5578C92B" w14:textId="1FDAA9DF" w:rsidR="001D427C" w:rsidRPr="00516FE6" w:rsidRDefault="00923D90" w:rsidP="00516FE6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 w:rsidR="001D427C"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516FE6">
        <w:rPr>
          <w:rFonts w:cstheme="minorHAnsi"/>
          <w:b/>
        </w:rPr>
        <w:t xml:space="preserve"> (such as strain-specific information). Please be sure that the track changes function is turned on to indicate </w:t>
      </w:r>
      <w:r w:rsidR="001D427C" w:rsidRPr="00516FE6">
        <w:rPr>
          <w:rFonts w:cstheme="minorHAnsi"/>
          <w:b/>
        </w:rPr>
        <w:t>any changes that you make.</w:t>
      </w:r>
    </w:p>
    <w:p w14:paraId="77129587" w14:textId="66FA2296" w:rsidR="00DC0F42" w:rsidRDefault="00516FE6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Instruct all</w:t>
      </w:r>
      <w:r w:rsidR="001D427C">
        <w:rPr>
          <w:rFonts w:cstheme="minorHAnsi"/>
          <w:b/>
        </w:rPr>
        <w:t xml:space="preserve"> personnel to review the BARD and sign the last page, indicating that they have </w:t>
      </w:r>
    </w:p>
    <w:p w14:paraId="7F863018" w14:textId="44EA5590" w:rsidR="001D427C" w:rsidRDefault="001D427C" w:rsidP="00DC0F42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 xml:space="preserve">read and understood </w:t>
      </w:r>
      <w:r w:rsidR="00DC0F42">
        <w:rPr>
          <w:rFonts w:cstheme="minorHAnsi"/>
          <w:b/>
        </w:rPr>
        <w:t>the information.</w:t>
      </w:r>
    </w:p>
    <w:p w14:paraId="3644D4F2" w14:textId="3B5EF16B" w:rsidR="00923D90" w:rsidRDefault="00923D90" w:rsidP="00923D90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 w:rsidR="001D427C">
        <w:rPr>
          <w:rFonts w:cstheme="minorHAnsi"/>
          <w:b/>
        </w:rPr>
        <w:t xml:space="preserve">IBC </w:t>
      </w:r>
      <w:r w:rsidR="00671785">
        <w:rPr>
          <w:rFonts w:cstheme="minorHAnsi"/>
          <w:b/>
        </w:rPr>
        <w:t xml:space="preserve">master </w:t>
      </w:r>
      <w:r w:rsidRPr="00923D90">
        <w:rPr>
          <w:rFonts w:cstheme="minorHAnsi"/>
          <w:b/>
        </w:rPr>
        <w:t>protocol</w:t>
      </w:r>
      <w:r w:rsidR="00671785">
        <w:rPr>
          <w:rFonts w:cstheme="minorHAnsi"/>
          <w:b/>
        </w:rPr>
        <w:t xml:space="preserve"> registration</w:t>
      </w:r>
      <w:r w:rsidRPr="00923D90">
        <w:rPr>
          <w:rFonts w:cstheme="minorHAnsi"/>
          <w:b/>
        </w:rPr>
        <w:t>, amendment, or continuing review</w:t>
      </w:r>
      <w:r w:rsidR="001D427C">
        <w:rPr>
          <w:rFonts w:cstheme="minorHAnsi"/>
          <w:b/>
        </w:rPr>
        <w:t>.</w:t>
      </w:r>
    </w:p>
    <w:p w14:paraId="4AC78947" w14:textId="77777777" w:rsidR="009F46B5" w:rsidRDefault="009F46B5">
      <w:pPr>
        <w:rPr>
          <w:b/>
        </w:rPr>
      </w:pPr>
    </w:p>
    <w:p w14:paraId="63EA4208" w14:textId="77777777" w:rsidR="009F46B5" w:rsidRDefault="009F46B5">
      <w:pPr>
        <w:rPr>
          <w:b/>
        </w:rPr>
      </w:pPr>
    </w:p>
    <w:p w14:paraId="58009629" w14:textId="77777777" w:rsidR="009F46B5" w:rsidRDefault="009F46B5">
      <w:pPr>
        <w:rPr>
          <w:b/>
        </w:rPr>
        <w:sectPr w:rsidR="009F46B5" w:rsidSect="009F46B5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6AC036ED" w14:textId="1A9EC537" w:rsidR="009F46B5" w:rsidRPr="009F46B5" w:rsidRDefault="009F46B5">
      <w:pPr>
        <w:rPr>
          <w:b/>
        </w:rPr>
      </w:pPr>
      <w:r>
        <w:rPr>
          <w:b/>
        </w:rPr>
        <w:tab/>
      </w:r>
      <w:r w:rsidRPr="009F46B5">
        <w:rPr>
          <w:b/>
        </w:rPr>
        <w:br w:type="page"/>
      </w:r>
    </w:p>
    <w:p w14:paraId="65A090A7" w14:textId="77777777" w:rsidR="00F15A99" w:rsidRDefault="00F15A99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F102308" w14:textId="76EAE29F" w:rsidR="00C13ABF" w:rsidRPr="00D55059" w:rsidRDefault="0061024C" w:rsidP="005B628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Enveloped p</w:t>
            </w:r>
            <w:r w:rsidR="00D55059" w:rsidRPr="00D55059">
              <w:rPr>
                <w:color w:val="000000"/>
                <w:sz w:val="20"/>
                <w:szCs w:val="20"/>
                <w:shd w:val="clear" w:color="auto" w:fill="FFFFFF"/>
              </w:rPr>
              <w:t>ositive-stranded RNA virus with a crown-like appearance due to the presence of spike glycoproteins on the envelope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 Worldwide distribution, causing 10 – 15% of common cold cases.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476FF1EE" w:rsidR="00F15A99" w:rsidRPr="00845FC5" w:rsidRDefault="00F15A99">
            <w:pPr>
              <w:rPr>
                <w:sz w:val="20"/>
                <w:szCs w:val="20"/>
              </w:rPr>
            </w:pP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7CA6E162" w:rsidR="00C13ABF" w:rsidRDefault="006C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198CFA88" w:rsidR="00C13ABF" w:rsidRDefault="00647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 of aerosols, contact with mucous membranes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6B8079BC" w:rsidR="00C13ABF" w:rsidRDefault="0061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or lower respiratory illnesses, such as: </w:t>
            </w:r>
            <w:r w:rsidR="001C0ECD">
              <w:rPr>
                <w:sz w:val="20"/>
                <w:szCs w:val="20"/>
              </w:rPr>
              <w:t>C</w:t>
            </w:r>
            <w:r w:rsidR="005154FC">
              <w:rPr>
                <w:sz w:val="20"/>
                <w:szCs w:val="20"/>
              </w:rPr>
              <w:t xml:space="preserve">ough, </w:t>
            </w:r>
            <w:r>
              <w:rPr>
                <w:sz w:val="20"/>
                <w:szCs w:val="20"/>
              </w:rPr>
              <w:t xml:space="preserve">fever, runny or stuffy nose, sneezing, sore throat, headache, malaise, gastroenteritis, or diarrhea. 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2809A89F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6CE59325" w:rsidR="00F04586" w:rsidRDefault="00D5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C6845">
              <w:rPr>
                <w:sz w:val="20"/>
                <w:szCs w:val="20"/>
              </w:rPr>
              <w:t>nknown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41776F36" w:rsidR="00F04586" w:rsidRDefault="006C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4 days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3B53B65B" w:rsidR="00D67EC6" w:rsidRDefault="00D5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1DB3CC3D" w:rsidR="00D67EC6" w:rsidRDefault="00D5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03BCBF1B" w:rsidR="00D67EC6" w:rsidRDefault="0061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usually diagnosed due to the normally mild, self-limiting nature of the infection. </w:t>
            </w:r>
            <w:r w:rsidR="00D55059">
              <w:rPr>
                <w:sz w:val="20"/>
                <w:szCs w:val="20"/>
              </w:rPr>
              <w:t>Supportive care only</w:t>
            </w:r>
            <w:r w:rsidR="000433E7">
              <w:rPr>
                <w:sz w:val="20"/>
                <w:szCs w:val="20"/>
              </w:rPr>
              <w:t xml:space="preserve">. 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363E5286" w:rsidR="00D67EC6" w:rsidRDefault="00647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</w:t>
            </w:r>
            <w:r w:rsidR="0061024C">
              <w:rPr>
                <w:sz w:val="20"/>
                <w:szCs w:val="20"/>
              </w:rPr>
              <w:t>. Testing methods include serology, electron microscopy, and PCR-based assays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159E5E4C" w:rsidR="00D67EC6" w:rsidRDefault="00D67EC6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any exposures</w:t>
            </w:r>
            <w:r w:rsidR="002920ED">
              <w:rPr>
                <w:sz w:val="20"/>
                <w:szCs w:val="20"/>
              </w:rPr>
              <w:t xml:space="preserve"> or signs and symptoms to your supervisor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2C04EB1E" w:rsidR="00C13ABF" w:rsidRDefault="0061024C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cause more severe lower respiratory tract infection, including pneumonia in infants, elderly, and immunocompromised individuals.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52"/>
        <w:tblW w:w="5661" w:type="dxa"/>
        <w:tblLook w:val="04A0" w:firstRow="1" w:lastRow="0" w:firstColumn="1" w:lastColumn="0" w:noHBand="0" w:noVBand="1"/>
      </w:tblPr>
      <w:tblGrid>
        <w:gridCol w:w="1341"/>
        <w:gridCol w:w="4320"/>
      </w:tblGrid>
      <w:tr w:rsidR="00C13ABF" w14:paraId="14AF783F" w14:textId="77777777" w:rsidTr="00D04FF9">
        <w:tc>
          <w:tcPr>
            <w:tcW w:w="5661" w:type="dxa"/>
            <w:gridSpan w:val="2"/>
            <w:shd w:val="clear" w:color="auto" w:fill="538135" w:themeFill="accent6" w:themeFillShade="BF"/>
          </w:tcPr>
          <w:p w14:paraId="31C2AE8F" w14:textId="77777777" w:rsidR="00C13ABF" w:rsidRPr="005733C9" w:rsidRDefault="00C13ABF" w:rsidP="00C13ABF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D04FF9" w14:paraId="42F8054E" w14:textId="77777777" w:rsidTr="00D04FF9">
        <w:tc>
          <w:tcPr>
            <w:tcW w:w="1341" w:type="dxa"/>
          </w:tcPr>
          <w:p w14:paraId="2AA4C9A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320" w:type="dxa"/>
          </w:tcPr>
          <w:p w14:paraId="0ED7D692" w14:textId="6EAA6D6D" w:rsidR="00C13ABF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reported</w:t>
            </w:r>
          </w:p>
          <w:p w14:paraId="094F518B" w14:textId="77777777" w:rsidR="00C13ABF" w:rsidRDefault="00C13ABF" w:rsidP="00C13ABF">
            <w:pPr>
              <w:rPr>
                <w:sz w:val="20"/>
                <w:szCs w:val="20"/>
              </w:rPr>
            </w:pPr>
          </w:p>
        </w:tc>
      </w:tr>
      <w:tr w:rsidR="00D04FF9" w14:paraId="409ED8AB" w14:textId="77777777" w:rsidTr="007E03EE">
        <w:trPr>
          <w:trHeight w:val="334"/>
        </w:trPr>
        <w:tc>
          <w:tcPr>
            <w:tcW w:w="1341" w:type="dxa"/>
          </w:tcPr>
          <w:p w14:paraId="3FF069F0" w14:textId="77777777" w:rsidR="00C13ABF" w:rsidRPr="00E37F21" w:rsidRDefault="00C13ABF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320" w:type="dxa"/>
          </w:tcPr>
          <w:p w14:paraId="051CE58C" w14:textId="3F5FFBA6" w:rsidR="00C13ABF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droplets</w:t>
            </w:r>
            <w:r w:rsidR="0061024C">
              <w:rPr>
                <w:sz w:val="20"/>
                <w:szCs w:val="20"/>
              </w:rPr>
              <w:t xml:space="preserve"> or specimens, stools</w:t>
            </w:r>
            <w:r>
              <w:rPr>
                <w:sz w:val="20"/>
                <w:szCs w:val="20"/>
              </w:rPr>
              <w:t>, laboratory cultures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77D3978A" w14:textId="595088A3" w:rsidR="00C13ABF" w:rsidRDefault="00C13ABF">
      <w:pPr>
        <w:rPr>
          <w:sz w:val="20"/>
          <w:szCs w:val="20"/>
        </w:rPr>
      </w:pPr>
    </w:p>
    <w:p w14:paraId="0196C40A" w14:textId="2345A07D" w:rsidR="00B35E17" w:rsidRDefault="00B35E17">
      <w:pPr>
        <w:rPr>
          <w:sz w:val="20"/>
          <w:szCs w:val="20"/>
        </w:rPr>
      </w:pPr>
    </w:p>
    <w:p w14:paraId="412A98C7" w14:textId="1A33DB11" w:rsidR="0061024C" w:rsidRDefault="0061024C">
      <w:pPr>
        <w:rPr>
          <w:sz w:val="20"/>
          <w:szCs w:val="20"/>
        </w:rPr>
      </w:pPr>
    </w:p>
    <w:p w14:paraId="5267EDAC" w14:textId="77777777" w:rsidR="0061024C" w:rsidRDefault="0061024C">
      <w:pPr>
        <w:rPr>
          <w:sz w:val="20"/>
          <w:szCs w:val="20"/>
        </w:rPr>
      </w:pPr>
    </w:p>
    <w:p w14:paraId="642B4984" w14:textId="77777777" w:rsidR="005733C9" w:rsidRDefault="005733C9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530"/>
        <w:gridCol w:w="4250"/>
      </w:tblGrid>
      <w:tr w:rsidR="00C13ABF" w14:paraId="7326FC39" w14:textId="77777777" w:rsidTr="00C13ABF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C13ABF" w14:paraId="3295084F" w14:textId="77777777" w:rsidTr="00C13ABF">
        <w:tc>
          <w:tcPr>
            <w:tcW w:w="153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250" w:type="dxa"/>
          </w:tcPr>
          <w:p w14:paraId="5929C5C5" w14:textId="438DC6FB" w:rsidR="005733C9" w:rsidRDefault="00BC5F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infected clinical samples and cultures of laboratory adapted strains (RG2)</w:t>
            </w:r>
          </w:p>
        </w:tc>
      </w:tr>
      <w:tr w:rsidR="00C13ABF" w14:paraId="50B71E50" w14:textId="77777777" w:rsidTr="00C13ABF">
        <w:tc>
          <w:tcPr>
            <w:tcW w:w="153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250" w:type="dxa"/>
          </w:tcPr>
          <w:p w14:paraId="519809A7" w14:textId="254511AB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449673AC" w14:textId="77777777" w:rsidTr="00C13ABF">
        <w:tc>
          <w:tcPr>
            <w:tcW w:w="153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250" w:type="dxa"/>
          </w:tcPr>
          <w:p w14:paraId="17E84471" w14:textId="43D1B30A" w:rsidR="005733C9" w:rsidRDefault="0061024C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animal work</w:t>
            </w:r>
          </w:p>
        </w:tc>
      </w:tr>
      <w:tr w:rsidR="00C13ABF" w14:paraId="48F1431D" w14:textId="77777777" w:rsidTr="00C13ABF">
        <w:tc>
          <w:tcPr>
            <w:tcW w:w="153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250" w:type="dxa"/>
          </w:tcPr>
          <w:p w14:paraId="70780F56" w14:textId="180C4C96" w:rsidR="005733C9" w:rsidRDefault="005733C9">
            <w:pPr>
              <w:rPr>
                <w:sz w:val="20"/>
                <w:szCs w:val="20"/>
              </w:rPr>
            </w:pPr>
          </w:p>
        </w:tc>
      </w:tr>
      <w:tr w:rsidR="00C13ABF" w14:paraId="6AFE6ACB" w14:textId="77777777" w:rsidTr="00C13ABF">
        <w:tc>
          <w:tcPr>
            <w:tcW w:w="153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250" w:type="dxa"/>
          </w:tcPr>
          <w:p w14:paraId="6871A61C" w14:textId="6F296CF3" w:rsidR="004F4CD9" w:rsidRDefault="0051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Centrifugation, homogenizing, </w:t>
            </w:r>
            <w:proofErr w:type="spellStart"/>
            <w:r>
              <w:rPr>
                <w:sz w:val="20"/>
                <w:szCs w:val="20"/>
              </w:rPr>
              <w:t>vortexing</w:t>
            </w:r>
            <w:proofErr w:type="spellEnd"/>
            <w:r>
              <w:rPr>
                <w:sz w:val="20"/>
                <w:szCs w:val="20"/>
              </w:rPr>
              <w:t xml:space="preserve"> or stirring, cell sorting, pipetting, pouring liquids, sonicating, loading syringes</w:t>
            </w:r>
          </w:p>
        </w:tc>
      </w:tr>
      <w:tr w:rsidR="00C13ABF" w14:paraId="41CE5316" w14:textId="77777777" w:rsidTr="00C13ABF">
        <w:tc>
          <w:tcPr>
            <w:tcW w:w="153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250" w:type="dxa"/>
          </w:tcPr>
          <w:p w14:paraId="662202B2" w14:textId="3E1F8F56" w:rsidR="00CD543C" w:rsidRDefault="00515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all activities that have the potential to generate aerosols, all manipulation of potentially infected specimens</w:t>
            </w:r>
            <w:r w:rsidR="00F64110">
              <w:rPr>
                <w:sz w:val="20"/>
                <w:szCs w:val="20"/>
              </w:rPr>
              <w:t xml:space="preserve"> or cultures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07"/>
        <w:gridCol w:w="4373"/>
      </w:tblGrid>
      <w:tr w:rsidR="00680AC1" w14:paraId="01C09168" w14:textId="77777777" w:rsidTr="00C13ABF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C13ABF" w14:paraId="6057CB70" w14:textId="77777777" w:rsidTr="00C13ABF">
        <w:tc>
          <w:tcPr>
            <w:tcW w:w="153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21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C13ABF" w14:paraId="6F0C3BBB" w14:textId="77777777" w:rsidTr="00C13ABF">
        <w:trPr>
          <w:trHeight w:val="521"/>
        </w:trPr>
        <w:tc>
          <w:tcPr>
            <w:tcW w:w="153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21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C13ABF" w14:paraId="79348B75" w14:textId="77777777" w:rsidTr="00C13ABF">
        <w:tc>
          <w:tcPr>
            <w:tcW w:w="153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218" w:type="dxa"/>
          </w:tcPr>
          <w:p w14:paraId="482CC955" w14:textId="34C2DD82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FC4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  <w:r w:rsidR="00487C23">
              <w:rPr>
                <w:sz w:val="20"/>
                <w:szCs w:val="20"/>
              </w:rPr>
              <w:t>. Bring this document with you if seeking medical care.</w:t>
            </w:r>
          </w:p>
        </w:tc>
      </w:tr>
      <w:tr w:rsidR="00C13ABF" w14:paraId="7AD6EA23" w14:textId="77777777" w:rsidTr="00C13ABF">
        <w:tc>
          <w:tcPr>
            <w:tcW w:w="153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218" w:type="dxa"/>
          </w:tcPr>
          <w:p w14:paraId="50606FB1" w14:textId="77777777" w:rsidR="00680AC1" w:rsidRDefault="005A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</w:t>
            </w:r>
            <w:r w:rsidR="00C13ABF">
              <w:rPr>
                <w:sz w:val="20"/>
                <w:szCs w:val="20"/>
              </w:rPr>
              <w:t xml:space="preserve"> near misses to</w:t>
            </w:r>
            <w:r>
              <w:rPr>
                <w:sz w:val="20"/>
                <w:szCs w:val="20"/>
              </w:rPr>
              <w:t>:</w:t>
            </w:r>
          </w:p>
          <w:p w14:paraId="2BDCB0D7" w14:textId="77777777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4C78EF96" w14:textId="016E71F8" w:rsid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4E3925DD" w:rsidR="005A175C" w:rsidRPr="005A175C" w:rsidRDefault="005A175C" w:rsidP="005A17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Management and Safety; </w:t>
            </w:r>
            <w:hyperlink r:id="rId11" w:history="1">
              <w:r w:rsidRPr="002539D7">
                <w:rPr>
                  <w:rStyle w:val="Hyperlink"/>
                  <w:sz w:val="20"/>
                  <w:szCs w:val="20"/>
                </w:rPr>
                <w:t>http://www.uvm.edu/safety/lab/incident-reporting</w:t>
              </w:r>
            </w:hyperlink>
          </w:p>
        </w:tc>
      </w:tr>
    </w:tbl>
    <w:p w14:paraId="21E1329C" w14:textId="568C3245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482"/>
        <w:gridCol w:w="4255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F608AC">
        <w:tc>
          <w:tcPr>
            <w:tcW w:w="1482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255" w:type="dxa"/>
          </w:tcPr>
          <w:p w14:paraId="13382C27" w14:textId="5BDE1419" w:rsidR="009E6568" w:rsidRDefault="0061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516FE6">
              <w:rPr>
                <w:sz w:val="20"/>
                <w:szCs w:val="20"/>
              </w:rPr>
              <w:t>itrile gloves, lab coat or gown, appropriate eye/face protection. Wash hands after removing gloves.</w:t>
            </w:r>
          </w:p>
        </w:tc>
      </w:tr>
      <w:tr w:rsidR="00F608AC" w14:paraId="2B822413" w14:textId="77777777" w:rsidTr="00F608AC">
        <w:tc>
          <w:tcPr>
            <w:tcW w:w="1482" w:type="dxa"/>
          </w:tcPr>
          <w:p w14:paraId="6660293D" w14:textId="77777777" w:rsidR="009E6568" w:rsidRDefault="00F608AC" w:rsidP="00C13ABF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  <w:p w14:paraId="17735B96" w14:textId="121AEE77" w:rsidR="008603B3" w:rsidRPr="00E37F21" w:rsidRDefault="008603B3" w:rsidP="00C13AB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(Risk assessment dependent)</w:t>
            </w:r>
          </w:p>
        </w:tc>
        <w:tc>
          <w:tcPr>
            <w:tcW w:w="4255" w:type="dxa"/>
          </w:tcPr>
          <w:p w14:paraId="3F8D51A6" w14:textId="71B5EFF3" w:rsidR="00F608AC" w:rsidRDefault="00F608AC" w:rsidP="000C0BDB">
            <w:pPr>
              <w:rPr>
                <w:sz w:val="20"/>
                <w:szCs w:val="20"/>
              </w:rPr>
            </w:pPr>
          </w:p>
        </w:tc>
      </w:tr>
    </w:tbl>
    <w:p w14:paraId="67628422" w14:textId="1018597B" w:rsidR="009C486D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2D8FF7" w14:textId="77777777" w:rsidR="0061024C" w:rsidRDefault="0061024C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7A59B728" w:rsidR="00E37F21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bleach, 70% alcohols,</w:t>
            </w:r>
            <w:r w:rsidR="0061024C">
              <w:rPr>
                <w:sz w:val="20"/>
                <w:szCs w:val="20"/>
              </w:rPr>
              <w:t xml:space="preserve"> 2% glutaraldehyde,</w:t>
            </w:r>
            <w:r>
              <w:rPr>
                <w:sz w:val="20"/>
                <w:szCs w:val="20"/>
              </w:rPr>
              <w:t xml:space="preserve"> </w:t>
            </w:r>
            <w:r w:rsidR="0061024C">
              <w:rPr>
                <w:sz w:val="20"/>
                <w:szCs w:val="20"/>
              </w:rPr>
              <w:t>and 10% iodophors</w:t>
            </w:r>
            <w:r w:rsidR="003E1F9D">
              <w:rPr>
                <w:sz w:val="20"/>
                <w:szCs w:val="20"/>
              </w:rPr>
              <w:t xml:space="preserve">. Minimum contact time of </w:t>
            </w:r>
            <w:r w:rsidR="00F64110" w:rsidRPr="00A17178">
              <w:rPr>
                <w:sz w:val="20"/>
                <w:szCs w:val="20"/>
              </w:rPr>
              <w:t>10</w:t>
            </w:r>
            <w:r w:rsidR="003E1F9D">
              <w:rPr>
                <w:sz w:val="20"/>
                <w:szCs w:val="20"/>
              </w:rPr>
              <w:t xml:space="preserve"> minutes.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4AADD64A" w:rsidR="00E37F21" w:rsidRDefault="00F64110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coronaviruses are s</w:t>
            </w:r>
            <w:r w:rsidR="00D55059">
              <w:rPr>
                <w:sz w:val="20"/>
                <w:szCs w:val="20"/>
              </w:rPr>
              <w:t xml:space="preserve">ensitive to UV </w:t>
            </w:r>
            <w:r>
              <w:rPr>
                <w:sz w:val="20"/>
                <w:szCs w:val="20"/>
              </w:rPr>
              <w:t>radiation</w:t>
            </w:r>
            <w:r w:rsidR="002C71D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55059">
              <w:rPr>
                <w:sz w:val="20"/>
                <w:szCs w:val="20"/>
              </w:rPr>
              <w:t>and heat</w:t>
            </w:r>
            <w:r>
              <w:rPr>
                <w:sz w:val="20"/>
                <w:szCs w:val="20"/>
              </w:rPr>
              <w:t xml:space="preserve"> above 60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</w:t>
            </w:r>
            <w:r w:rsidR="002C71D0">
              <w:rPr>
                <w:sz w:val="20"/>
                <w:szCs w:val="20"/>
              </w:rPr>
              <w:t xml:space="preserve">. Minimum contact time of </w:t>
            </w:r>
            <w:r>
              <w:rPr>
                <w:sz w:val="20"/>
                <w:szCs w:val="20"/>
              </w:rPr>
              <w:t>30 minutes</w:t>
            </w:r>
            <w:r w:rsidR="002C71D0">
              <w:rPr>
                <w:sz w:val="20"/>
                <w:szCs w:val="20"/>
              </w:rPr>
              <w:t>.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766B3923" w:rsidR="00E37F21" w:rsidRDefault="006C6845" w:rsidP="00C1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Capable of surviving</w:t>
            </w:r>
            <w:r w:rsidR="0061024C">
              <w:rPr>
                <w:sz w:val="20"/>
                <w:szCs w:val="20"/>
              </w:rPr>
              <w:t xml:space="preserve"> for up to six days in aqueous mediums, and up to 3 hours on dry inanimate surfaces.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D04FF9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2C031240" w:rsidR="00E37F21" w:rsidRDefault="001137DE" w:rsidP="00113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</w:t>
            </w:r>
            <w:r w:rsidR="00516FE6">
              <w:rPr>
                <w:sz w:val="20"/>
                <w:szCs w:val="20"/>
              </w:rPr>
              <w:t>wards the center.  Allow 30 minutes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D04FF9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0A7BF2A6" w:rsidR="00E37F21" w:rsidRDefault="00E37F21">
      <w:pPr>
        <w:rPr>
          <w:sz w:val="20"/>
          <w:szCs w:val="20"/>
        </w:rPr>
      </w:pPr>
    </w:p>
    <w:p w14:paraId="50187264" w14:textId="77777777" w:rsidR="0061024C" w:rsidRDefault="0061024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9"/>
        <w:tblW w:w="11783" w:type="dxa"/>
        <w:tblLook w:val="04A0" w:firstRow="1" w:lastRow="0" w:firstColumn="1" w:lastColumn="0" w:noHBand="0" w:noVBand="1"/>
      </w:tblPr>
      <w:tblGrid>
        <w:gridCol w:w="11783"/>
      </w:tblGrid>
      <w:tr w:rsidR="00C13ABF" w:rsidRPr="004A786C" w14:paraId="0D1D2274" w14:textId="77777777" w:rsidTr="004234C5">
        <w:trPr>
          <w:trHeight w:val="332"/>
        </w:trPr>
        <w:tc>
          <w:tcPr>
            <w:tcW w:w="11783" w:type="dxa"/>
            <w:shd w:val="clear" w:color="auto" w:fill="538135" w:themeFill="accent6" w:themeFillShade="BF"/>
          </w:tcPr>
          <w:p w14:paraId="41E519D7" w14:textId="50930E48" w:rsidR="00775188" w:rsidRPr="004D0C5D" w:rsidRDefault="00775188" w:rsidP="004234C5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  <w:r w:rsidR="00C13ABF">
              <w:rPr>
                <w:b/>
                <w:caps/>
                <w:color w:val="FFFFFF" w:themeColor="background1"/>
              </w:rPr>
              <w:t xml:space="preserve">                                                               SIGNATURE                                                            DATE</w:t>
            </w:r>
          </w:p>
        </w:tc>
      </w:tr>
      <w:tr w:rsidR="00C13ABF" w:rsidRPr="004A786C" w14:paraId="1785F972" w14:textId="77777777" w:rsidTr="004234C5">
        <w:trPr>
          <w:trHeight w:val="257"/>
        </w:trPr>
        <w:tc>
          <w:tcPr>
            <w:tcW w:w="11783" w:type="dxa"/>
          </w:tcPr>
          <w:p w14:paraId="31BF6B59" w14:textId="77777777" w:rsidR="00775188" w:rsidRPr="004A786C" w:rsidRDefault="00775188" w:rsidP="004234C5"/>
        </w:tc>
      </w:tr>
      <w:tr w:rsidR="00C13ABF" w:rsidRPr="004A786C" w14:paraId="0959FE22" w14:textId="77777777" w:rsidTr="004234C5">
        <w:trPr>
          <w:trHeight w:val="257"/>
        </w:trPr>
        <w:tc>
          <w:tcPr>
            <w:tcW w:w="11783" w:type="dxa"/>
          </w:tcPr>
          <w:p w14:paraId="09BF422A" w14:textId="77777777" w:rsidR="00775188" w:rsidRPr="004A786C" w:rsidRDefault="00775188" w:rsidP="004234C5"/>
        </w:tc>
      </w:tr>
      <w:tr w:rsidR="00C13ABF" w:rsidRPr="004A786C" w14:paraId="5E2D6C9C" w14:textId="77777777" w:rsidTr="004234C5">
        <w:trPr>
          <w:trHeight w:val="257"/>
        </w:trPr>
        <w:tc>
          <w:tcPr>
            <w:tcW w:w="11783" w:type="dxa"/>
          </w:tcPr>
          <w:p w14:paraId="5C770CA8" w14:textId="77777777" w:rsidR="00775188" w:rsidRPr="004A786C" w:rsidRDefault="00775188" w:rsidP="004234C5"/>
        </w:tc>
      </w:tr>
      <w:tr w:rsidR="00C13ABF" w:rsidRPr="004A786C" w14:paraId="689896BF" w14:textId="77777777" w:rsidTr="004234C5">
        <w:trPr>
          <w:trHeight w:val="257"/>
        </w:trPr>
        <w:tc>
          <w:tcPr>
            <w:tcW w:w="11783" w:type="dxa"/>
          </w:tcPr>
          <w:p w14:paraId="0FAC85E0" w14:textId="77777777" w:rsidR="00775188" w:rsidRPr="004A786C" w:rsidRDefault="00775188" w:rsidP="004234C5"/>
        </w:tc>
      </w:tr>
      <w:tr w:rsidR="00C13ABF" w:rsidRPr="004A786C" w14:paraId="57371DBA" w14:textId="77777777" w:rsidTr="004234C5">
        <w:trPr>
          <w:trHeight w:val="257"/>
        </w:trPr>
        <w:tc>
          <w:tcPr>
            <w:tcW w:w="11783" w:type="dxa"/>
          </w:tcPr>
          <w:p w14:paraId="40DC1C51" w14:textId="77777777" w:rsidR="00775188" w:rsidRPr="004A786C" w:rsidRDefault="00775188" w:rsidP="004234C5"/>
        </w:tc>
      </w:tr>
      <w:tr w:rsidR="00C13ABF" w:rsidRPr="004A786C" w14:paraId="50FB741A" w14:textId="77777777" w:rsidTr="004234C5">
        <w:trPr>
          <w:trHeight w:val="257"/>
        </w:trPr>
        <w:tc>
          <w:tcPr>
            <w:tcW w:w="11783" w:type="dxa"/>
          </w:tcPr>
          <w:p w14:paraId="787C3B4A" w14:textId="77777777" w:rsidR="00775188" w:rsidRPr="004A786C" w:rsidRDefault="00775188" w:rsidP="004234C5"/>
        </w:tc>
      </w:tr>
      <w:tr w:rsidR="00C13ABF" w:rsidRPr="004A786C" w14:paraId="14B6D0F1" w14:textId="77777777" w:rsidTr="004234C5">
        <w:trPr>
          <w:trHeight w:val="257"/>
        </w:trPr>
        <w:tc>
          <w:tcPr>
            <w:tcW w:w="11783" w:type="dxa"/>
          </w:tcPr>
          <w:p w14:paraId="63C1967B" w14:textId="77777777" w:rsidR="00775188" w:rsidRPr="004A786C" w:rsidRDefault="00775188" w:rsidP="004234C5"/>
        </w:tc>
      </w:tr>
      <w:tr w:rsidR="00C13ABF" w:rsidRPr="004A786C" w14:paraId="261CD8E4" w14:textId="77777777" w:rsidTr="004234C5">
        <w:trPr>
          <w:trHeight w:val="257"/>
        </w:trPr>
        <w:tc>
          <w:tcPr>
            <w:tcW w:w="11783" w:type="dxa"/>
          </w:tcPr>
          <w:p w14:paraId="447A6260" w14:textId="77777777" w:rsidR="00775188" w:rsidRPr="004A786C" w:rsidRDefault="00775188" w:rsidP="004234C5"/>
        </w:tc>
      </w:tr>
      <w:tr w:rsidR="006032FB" w:rsidRPr="004A786C" w14:paraId="76BC9D69" w14:textId="77777777" w:rsidTr="004234C5">
        <w:trPr>
          <w:trHeight w:val="257"/>
        </w:trPr>
        <w:tc>
          <w:tcPr>
            <w:tcW w:w="11783" w:type="dxa"/>
          </w:tcPr>
          <w:p w14:paraId="1C229BB8" w14:textId="77777777" w:rsidR="006032FB" w:rsidRPr="004A786C" w:rsidRDefault="006032FB" w:rsidP="004234C5"/>
        </w:tc>
      </w:tr>
    </w:tbl>
    <w:p w14:paraId="109FB0C4" w14:textId="77777777" w:rsidR="001106C3" w:rsidRDefault="001106C3">
      <w:pPr>
        <w:rPr>
          <w:sz w:val="20"/>
          <w:szCs w:val="20"/>
        </w:rPr>
      </w:pPr>
    </w:p>
    <w:p w14:paraId="1F08215A" w14:textId="77777777" w:rsidR="006032FB" w:rsidRDefault="006032FB">
      <w:pPr>
        <w:rPr>
          <w:sz w:val="20"/>
          <w:szCs w:val="20"/>
        </w:rPr>
      </w:pPr>
    </w:p>
    <w:p w14:paraId="15F43C76" w14:textId="77777777" w:rsidR="006032FB" w:rsidRDefault="006032FB">
      <w:pPr>
        <w:rPr>
          <w:sz w:val="20"/>
          <w:szCs w:val="20"/>
        </w:rPr>
      </w:pPr>
    </w:p>
    <w:p w14:paraId="62002AAB" w14:textId="05460D07" w:rsidR="006032FB" w:rsidRDefault="006032FB">
      <w:pPr>
        <w:rPr>
          <w:b/>
          <w:i/>
        </w:rPr>
      </w:pPr>
    </w:p>
    <w:p w14:paraId="6B6E6B01" w14:textId="060BFEAD" w:rsidR="000C0BDB" w:rsidRDefault="000C0BDB">
      <w:pPr>
        <w:rPr>
          <w:b/>
          <w:i/>
        </w:rPr>
      </w:pPr>
    </w:p>
    <w:p w14:paraId="1535E953" w14:textId="77777777" w:rsidR="000C0BDB" w:rsidRDefault="000C0BDB">
      <w:pPr>
        <w:rPr>
          <w:sz w:val="20"/>
          <w:szCs w:val="20"/>
        </w:rPr>
      </w:pPr>
    </w:p>
    <w:p w14:paraId="18A8B6FC" w14:textId="77777777" w:rsidR="006032FB" w:rsidRDefault="006032FB">
      <w:pPr>
        <w:rPr>
          <w:sz w:val="20"/>
          <w:szCs w:val="20"/>
        </w:rPr>
      </w:pPr>
    </w:p>
    <w:p w14:paraId="47D5E21E" w14:textId="77777777" w:rsidR="006032FB" w:rsidRDefault="006032FB">
      <w:pPr>
        <w:rPr>
          <w:sz w:val="20"/>
          <w:szCs w:val="20"/>
        </w:rPr>
      </w:pPr>
    </w:p>
    <w:p w14:paraId="12FB67BB" w14:textId="77777777" w:rsidR="006032FB" w:rsidRDefault="006032FB">
      <w:pPr>
        <w:rPr>
          <w:sz w:val="20"/>
          <w:szCs w:val="20"/>
        </w:rPr>
      </w:pPr>
    </w:p>
    <w:p w14:paraId="5F703F62" w14:textId="77777777" w:rsidR="004234C5" w:rsidRDefault="004234C5">
      <w:pPr>
        <w:rPr>
          <w:sz w:val="20"/>
          <w:szCs w:val="20"/>
        </w:rPr>
      </w:pPr>
    </w:p>
    <w:p w14:paraId="4D70578A" w14:textId="77777777" w:rsidR="004234C5" w:rsidRDefault="004234C5">
      <w:pPr>
        <w:rPr>
          <w:sz w:val="20"/>
          <w:szCs w:val="20"/>
        </w:rPr>
      </w:pPr>
    </w:p>
    <w:tbl>
      <w:tblPr>
        <w:tblStyle w:val="TableGrid"/>
        <w:tblW w:w="56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4160"/>
      </w:tblGrid>
      <w:tr w:rsidR="0091239C" w14:paraId="1F3256D4" w14:textId="77777777" w:rsidTr="004234C5">
        <w:trPr>
          <w:trHeight w:val="172"/>
        </w:trPr>
        <w:tc>
          <w:tcPr>
            <w:tcW w:w="5600" w:type="dxa"/>
            <w:gridSpan w:val="2"/>
            <w:shd w:val="clear" w:color="auto" w:fill="538135" w:themeFill="accent6" w:themeFillShade="BF"/>
          </w:tcPr>
          <w:p w14:paraId="5D8DACFD" w14:textId="1D3E5CBE" w:rsidR="00266376" w:rsidRPr="00266376" w:rsidRDefault="0026637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91239C" w14:paraId="3706F8CE" w14:textId="77777777" w:rsidTr="004234C5">
        <w:trPr>
          <w:trHeight w:val="349"/>
        </w:trPr>
        <w:tc>
          <w:tcPr>
            <w:tcW w:w="1440" w:type="dxa"/>
          </w:tcPr>
          <w:p w14:paraId="5127FD3E" w14:textId="77777777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  <w:p w14:paraId="6939D296" w14:textId="47F4FBC7" w:rsidR="000433E7" w:rsidRDefault="000433E7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6A50C0F2" w14:textId="17236612" w:rsidR="0098772A" w:rsidRPr="002C71D0" w:rsidRDefault="00713B0D">
            <w:pPr>
              <w:rPr>
                <w:sz w:val="20"/>
                <w:szCs w:val="20"/>
              </w:rPr>
            </w:pPr>
            <w:hyperlink r:id="rId12" w:history="1">
              <w:r w:rsidR="002C71D0" w:rsidRPr="002C71D0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https://www.canada.ca/en/public-health/services/laboratory-biosafety-biosecurity/pathogen-safety-data-sheets-risk-assessment/human-coronavirus.html</w:t>
              </w:r>
            </w:hyperlink>
          </w:p>
        </w:tc>
      </w:tr>
      <w:tr w:rsidR="0091239C" w14:paraId="3F3E7192" w14:textId="77777777" w:rsidTr="004234C5">
        <w:trPr>
          <w:trHeight w:val="172"/>
        </w:trPr>
        <w:tc>
          <w:tcPr>
            <w:tcW w:w="1440" w:type="dxa"/>
          </w:tcPr>
          <w:p w14:paraId="2183B81A" w14:textId="3A7C2CCB" w:rsidR="00266376" w:rsidRDefault="00266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553A78F0" w14:textId="5916092F" w:rsidR="0098772A" w:rsidRPr="003E1F9D" w:rsidRDefault="000C0BDB">
            <w:pPr>
              <w:rPr>
                <w:sz w:val="20"/>
                <w:szCs w:val="20"/>
              </w:rPr>
            </w:pPr>
            <w:hyperlink r:id="rId13" w:history="1">
              <w:r w:rsidRPr="000C0BDB">
                <w:rPr>
                  <w:rStyle w:val="Hyperlink"/>
                  <w:sz w:val="20"/>
                  <w:szCs w:val="20"/>
                </w:rPr>
                <w:t>https://www.cdc.gov/labs/pdf/CDC-BiosafetyMicrobiologicalBiomedicalLaboratories-2020-P.pdf</w:t>
              </w:r>
            </w:hyperlink>
          </w:p>
        </w:tc>
      </w:tr>
      <w:tr w:rsidR="0061024C" w14:paraId="1883E1F2" w14:textId="77777777" w:rsidTr="004234C5">
        <w:trPr>
          <w:trHeight w:val="287"/>
        </w:trPr>
        <w:tc>
          <w:tcPr>
            <w:tcW w:w="1440" w:type="dxa"/>
          </w:tcPr>
          <w:p w14:paraId="08E82339" w14:textId="3D4C39A4" w:rsidR="0061024C" w:rsidRDefault="0061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CDC</w:t>
            </w:r>
          </w:p>
        </w:tc>
        <w:tc>
          <w:tcPr>
            <w:tcW w:w="4160" w:type="dxa"/>
          </w:tcPr>
          <w:p w14:paraId="4C9C054B" w14:textId="2560ECC0" w:rsidR="0061024C" w:rsidRPr="0061024C" w:rsidRDefault="00713B0D" w:rsidP="009C486D">
            <w:pPr>
              <w:rPr>
                <w:sz w:val="20"/>
                <w:szCs w:val="20"/>
              </w:rPr>
            </w:pPr>
            <w:hyperlink r:id="rId14" w:history="1">
              <w:r w:rsidR="0061024C" w:rsidRPr="0061024C">
                <w:rPr>
                  <w:rStyle w:val="Hyperlink"/>
                  <w:sz w:val="20"/>
                  <w:szCs w:val="20"/>
                </w:rPr>
                <w:t>https://www.cdc.gov/coronavirus/general-information.html</w:t>
              </w:r>
            </w:hyperlink>
          </w:p>
        </w:tc>
      </w:tr>
      <w:tr w:rsidR="0061024C" w14:paraId="3EE55FAC" w14:textId="77777777" w:rsidTr="004234C5">
        <w:trPr>
          <w:trHeight w:val="287"/>
        </w:trPr>
        <w:tc>
          <w:tcPr>
            <w:tcW w:w="1440" w:type="dxa"/>
          </w:tcPr>
          <w:p w14:paraId="57C72D26" w14:textId="6B84B788" w:rsidR="0061024C" w:rsidRDefault="0061024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</w:tcPr>
          <w:p w14:paraId="0F1BF728" w14:textId="77777777" w:rsidR="0061024C" w:rsidRDefault="0061024C" w:rsidP="00680DCE"/>
        </w:tc>
      </w:tr>
    </w:tbl>
    <w:p w14:paraId="7B9AA971" w14:textId="77777777" w:rsidR="00266376" w:rsidRDefault="00266376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02E970A5" w14:textId="77777777" w:rsidR="00C13ABF" w:rsidRDefault="00C13ABF">
      <w:pPr>
        <w:rPr>
          <w:sz w:val="20"/>
          <w:szCs w:val="20"/>
        </w:rPr>
      </w:pPr>
    </w:p>
    <w:p w14:paraId="74AC63B0" w14:textId="30B177A3" w:rsidR="00C13ABF" w:rsidRDefault="00C13ABF">
      <w:pPr>
        <w:rPr>
          <w:sz w:val="20"/>
          <w:szCs w:val="20"/>
        </w:rPr>
      </w:pPr>
    </w:p>
    <w:p w14:paraId="780362D7" w14:textId="34F3C81E" w:rsidR="00F64110" w:rsidRDefault="00F64110">
      <w:pPr>
        <w:rPr>
          <w:sz w:val="20"/>
          <w:szCs w:val="20"/>
        </w:rPr>
      </w:pPr>
    </w:p>
    <w:p w14:paraId="03603D48" w14:textId="478F17BA" w:rsidR="009C486D" w:rsidRDefault="009C486D">
      <w:pPr>
        <w:rPr>
          <w:sz w:val="20"/>
          <w:szCs w:val="20"/>
        </w:rPr>
      </w:pPr>
    </w:p>
    <w:p w14:paraId="578E1AC7" w14:textId="01A626D4" w:rsidR="0061024C" w:rsidRDefault="0061024C">
      <w:pPr>
        <w:rPr>
          <w:sz w:val="20"/>
          <w:szCs w:val="20"/>
        </w:rPr>
      </w:pPr>
    </w:p>
    <w:p w14:paraId="5E2C4105" w14:textId="62C74AE3" w:rsidR="0061024C" w:rsidRDefault="0061024C">
      <w:pPr>
        <w:rPr>
          <w:sz w:val="20"/>
          <w:szCs w:val="20"/>
        </w:rPr>
      </w:pPr>
    </w:p>
    <w:p w14:paraId="1290C541" w14:textId="56EBF979" w:rsidR="0061024C" w:rsidRDefault="0061024C">
      <w:pPr>
        <w:rPr>
          <w:sz w:val="20"/>
          <w:szCs w:val="20"/>
        </w:rPr>
      </w:pPr>
    </w:p>
    <w:p w14:paraId="35CE6CE7" w14:textId="4B349A81" w:rsidR="0061024C" w:rsidRDefault="0061024C">
      <w:pPr>
        <w:rPr>
          <w:sz w:val="20"/>
          <w:szCs w:val="20"/>
        </w:rPr>
      </w:pPr>
    </w:p>
    <w:p w14:paraId="3C1836BB" w14:textId="07F8850B" w:rsidR="0061024C" w:rsidRDefault="0061024C">
      <w:pPr>
        <w:rPr>
          <w:sz w:val="20"/>
          <w:szCs w:val="20"/>
        </w:rPr>
      </w:pPr>
    </w:p>
    <w:p w14:paraId="6414BA0E" w14:textId="0A329ABC" w:rsidR="0061024C" w:rsidRDefault="0061024C">
      <w:pPr>
        <w:rPr>
          <w:sz w:val="20"/>
          <w:szCs w:val="20"/>
        </w:rPr>
      </w:pPr>
    </w:p>
    <w:p w14:paraId="5266C423" w14:textId="4B7F4223" w:rsidR="0061024C" w:rsidRDefault="0061024C">
      <w:pPr>
        <w:rPr>
          <w:sz w:val="20"/>
          <w:szCs w:val="20"/>
        </w:rPr>
      </w:pPr>
    </w:p>
    <w:p w14:paraId="6C19273B" w14:textId="1C02FF91" w:rsidR="0061024C" w:rsidRDefault="0061024C">
      <w:pPr>
        <w:rPr>
          <w:sz w:val="20"/>
          <w:szCs w:val="20"/>
        </w:rPr>
      </w:pPr>
    </w:p>
    <w:p w14:paraId="3A131E57" w14:textId="0A7FC015" w:rsidR="0061024C" w:rsidRDefault="0061024C">
      <w:pPr>
        <w:rPr>
          <w:sz w:val="20"/>
          <w:szCs w:val="20"/>
        </w:rPr>
      </w:pPr>
    </w:p>
    <w:p w14:paraId="61F89C40" w14:textId="198F2D0D" w:rsidR="0061024C" w:rsidRDefault="0061024C">
      <w:pPr>
        <w:rPr>
          <w:sz w:val="20"/>
          <w:szCs w:val="20"/>
        </w:rPr>
      </w:pPr>
    </w:p>
    <w:p w14:paraId="24C0117C" w14:textId="776B79A4" w:rsidR="0061024C" w:rsidRDefault="0061024C">
      <w:pPr>
        <w:rPr>
          <w:sz w:val="20"/>
          <w:szCs w:val="20"/>
        </w:rPr>
      </w:pPr>
    </w:p>
    <w:p w14:paraId="7126803C" w14:textId="6D128125" w:rsidR="0061024C" w:rsidRDefault="0061024C">
      <w:pPr>
        <w:rPr>
          <w:sz w:val="20"/>
          <w:szCs w:val="20"/>
        </w:rPr>
      </w:pPr>
    </w:p>
    <w:p w14:paraId="79F15250" w14:textId="39EFBA3A" w:rsidR="0061024C" w:rsidRDefault="0061024C">
      <w:pPr>
        <w:rPr>
          <w:sz w:val="20"/>
          <w:szCs w:val="20"/>
        </w:rPr>
      </w:pPr>
    </w:p>
    <w:p w14:paraId="3CC823F4" w14:textId="65181C28" w:rsidR="0061024C" w:rsidRDefault="0061024C">
      <w:pPr>
        <w:rPr>
          <w:sz w:val="20"/>
          <w:szCs w:val="20"/>
        </w:rPr>
      </w:pPr>
    </w:p>
    <w:p w14:paraId="68FD2689" w14:textId="52BC4736" w:rsidR="0061024C" w:rsidRDefault="0061024C">
      <w:pPr>
        <w:rPr>
          <w:sz w:val="20"/>
          <w:szCs w:val="20"/>
        </w:rPr>
      </w:pPr>
    </w:p>
    <w:p w14:paraId="1586B985" w14:textId="77777777" w:rsidR="0061024C" w:rsidRDefault="0061024C">
      <w:pPr>
        <w:rPr>
          <w:sz w:val="20"/>
          <w:szCs w:val="20"/>
        </w:rPr>
      </w:pPr>
    </w:p>
    <w:p w14:paraId="578E7604" w14:textId="54E946FC" w:rsidR="006032FB" w:rsidRDefault="006032FB">
      <w:pPr>
        <w:rPr>
          <w:sz w:val="20"/>
          <w:szCs w:val="20"/>
        </w:rPr>
      </w:pPr>
    </w:p>
    <w:p w14:paraId="14551787" w14:textId="77777777" w:rsidR="0061024C" w:rsidRDefault="0061024C">
      <w:pPr>
        <w:rPr>
          <w:sz w:val="20"/>
          <w:szCs w:val="20"/>
        </w:rPr>
      </w:pPr>
    </w:p>
    <w:p w14:paraId="6A775E4A" w14:textId="0C75262C" w:rsidR="0091239C" w:rsidRDefault="0091239C">
      <w:pPr>
        <w:rPr>
          <w:sz w:val="20"/>
          <w:szCs w:val="20"/>
        </w:rPr>
      </w:pP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9F46B5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CD357" w14:textId="77777777" w:rsidR="00713B0D" w:rsidRDefault="00713B0D" w:rsidP="00F15A99">
      <w:r>
        <w:separator/>
      </w:r>
    </w:p>
  </w:endnote>
  <w:endnote w:type="continuationSeparator" w:id="0">
    <w:p w14:paraId="06BBBA3C" w14:textId="77777777" w:rsidR="00713B0D" w:rsidRDefault="00713B0D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B7F35" w14:textId="6B2D59F9" w:rsidR="001106C3" w:rsidRDefault="001106C3">
    <w:pPr>
      <w:pStyle w:val="Footer"/>
    </w:pPr>
    <w:r>
      <w:t xml:space="preserve">Principal Investigator: _____________________________________     IBC </w:t>
    </w:r>
    <w:r w:rsidR="00610D8F">
      <w:t>Registration</w:t>
    </w:r>
    <w:r>
      <w:t xml:space="preserve"> #: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180A7" w14:textId="77777777" w:rsidR="00713B0D" w:rsidRDefault="00713B0D" w:rsidP="00F15A99">
      <w:r>
        <w:separator/>
      </w:r>
    </w:p>
  </w:footnote>
  <w:footnote w:type="continuationSeparator" w:id="0">
    <w:p w14:paraId="4C4E9267" w14:textId="77777777" w:rsidR="00713B0D" w:rsidRDefault="00713B0D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1C2A" w14:textId="7777777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392BE053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C13ABF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C13ABF">
      <w:rPr>
        <w:b/>
        <w:caps/>
        <w:color w:val="538135" w:themeColor="accent6" w:themeShade="BF"/>
        <w:sz w:val="28"/>
        <w:szCs w:val="28"/>
      </w:rPr>
      <w:t>document</w:t>
    </w:r>
  </w:p>
  <w:p w14:paraId="43D9C3E4" w14:textId="143CD694" w:rsidR="0061024C" w:rsidRDefault="0061024C" w:rsidP="00C13ABF">
    <w:pPr>
      <w:jc w:val="center"/>
    </w:pPr>
    <w:r>
      <w:t xml:space="preserve">Human </w:t>
    </w:r>
    <w:r w:rsidR="00DD62F7">
      <w:t>Coronavirus</w:t>
    </w:r>
    <w:r>
      <w:t xml:space="preserve"> </w:t>
    </w:r>
  </w:p>
  <w:p w14:paraId="7D0097F8" w14:textId="4A80BBE3" w:rsidR="0061024C" w:rsidRPr="0061024C" w:rsidRDefault="0061024C" w:rsidP="00C13ABF">
    <w:pPr>
      <w:jc w:val="center"/>
      <w:rPr>
        <w:i/>
        <w:iCs/>
      </w:rPr>
    </w:pPr>
    <w:r w:rsidRPr="0061024C">
      <w:rPr>
        <w:i/>
        <w:iCs/>
      </w:rPr>
      <w:t>(excluding SARS and MERS</w:t>
    </w:r>
    <w:r w:rsidR="00BC5F82">
      <w:rPr>
        <w:i/>
        <w:iCs/>
      </w:rPr>
      <w:t xml:space="preserve"> viruses</w:t>
    </w:r>
    <w:r w:rsidRPr="0061024C">
      <w:rPr>
        <w:i/>
        <w:iCs/>
      </w:rPr>
      <w:t>)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433E7"/>
    <w:rsid w:val="00044F45"/>
    <w:rsid w:val="000C0BDB"/>
    <w:rsid w:val="00105D81"/>
    <w:rsid w:val="001106C3"/>
    <w:rsid w:val="001137DE"/>
    <w:rsid w:val="00114749"/>
    <w:rsid w:val="0011612B"/>
    <w:rsid w:val="00164F97"/>
    <w:rsid w:val="001C0ECD"/>
    <w:rsid w:val="001C3B8D"/>
    <w:rsid w:val="001D427C"/>
    <w:rsid w:val="00266376"/>
    <w:rsid w:val="002815F0"/>
    <w:rsid w:val="002920ED"/>
    <w:rsid w:val="002C586D"/>
    <w:rsid w:val="002C71D0"/>
    <w:rsid w:val="00302B6A"/>
    <w:rsid w:val="00304CD8"/>
    <w:rsid w:val="003134A9"/>
    <w:rsid w:val="00371EBB"/>
    <w:rsid w:val="003E1F9D"/>
    <w:rsid w:val="004234C5"/>
    <w:rsid w:val="00487C23"/>
    <w:rsid w:val="00494CB7"/>
    <w:rsid w:val="004960AF"/>
    <w:rsid w:val="004A5500"/>
    <w:rsid w:val="004A786C"/>
    <w:rsid w:val="004D0C5D"/>
    <w:rsid w:val="004E49AA"/>
    <w:rsid w:val="004F4CD9"/>
    <w:rsid w:val="005154FC"/>
    <w:rsid w:val="00516FE6"/>
    <w:rsid w:val="005263EE"/>
    <w:rsid w:val="0057019D"/>
    <w:rsid w:val="005733C9"/>
    <w:rsid w:val="005A175C"/>
    <w:rsid w:val="005A7343"/>
    <w:rsid w:val="005B6285"/>
    <w:rsid w:val="005E71DC"/>
    <w:rsid w:val="006032FB"/>
    <w:rsid w:val="0061024C"/>
    <w:rsid w:val="00610D8F"/>
    <w:rsid w:val="00614F1A"/>
    <w:rsid w:val="006477F9"/>
    <w:rsid w:val="006671BC"/>
    <w:rsid w:val="00671785"/>
    <w:rsid w:val="006779A8"/>
    <w:rsid w:val="00680AC1"/>
    <w:rsid w:val="00680DCE"/>
    <w:rsid w:val="006C6845"/>
    <w:rsid w:val="00713B0D"/>
    <w:rsid w:val="007475C2"/>
    <w:rsid w:val="007744F5"/>
    <w:rsid w:val="00775188"/>
    <w:rsid w:val="0078409C"/>
    <w:rsid w:val="00786B41"/>
    <w:rsid w:val="007A2366"/>
    <w:rsid w:val="007E03EE"/>
    <w:rsid w:val="00820907"/>
    <w:rsid w:val="00826ADC"/>
    <w:rsid w:val="008430F7"/>
    <w:rsid w:val="00845FC5"/>
    <w:rsid w:val="008603B3"/>
    <w:rsid w:val="008643D3"/>
    <w:rsid w:val="0088621B"/>
    <w:rsid w:val="008A0AA4"/>
    <w:rsid w:val="0091239C"/>
    <w:rsid w:val="00914B88"/>
    <w:rsid w:val="00923D90"/>
    <w:rsid w:val="00972C62"/>
    <w:rsid w:val="0098772A"/>
    <w:rsid w:val="009C2576"/>
    <w:rsid w:val="009C3F0E"/>
    <w:rsid w:val="009C486D"/>
    <w:rsid w:val="009E6568"/>
    <w:rsid w:val="009F46B5"/>
    <w:rsid w:val="00A17178"/>
    <w:rsid w:val="00A529B0"/>
    <w:rsid w:val="00A953F1"/>
    <w:rsid w:val="00AE6570"/>
    <w:rsid w:val="00B1093C"/>
    <w:rsid w:val="00B11E2C"/>
    <w:rsid w:val="00B35E17"/>
    <w:rsid w:val="00BC5F82"/>
    <w:rsid w:val="00C13ABF"/>
    <w:rsid w:val="00C86000"/>
    <w:rsid w:val="00CC796B"/>
    <w:rsid w:val="00CD543C"/>
    <w:rsid w:val="00CE3CBB"/>
    <w:rsid w:val="00D04FF9"/>
    <w:rsid w:val="00D55059"/>
    <w:rsid w:val="00D67EC6"/>
    <w:rsid w:val="00DC0806"/>
    <w:rsid w:val="00DC0F42"/>
    <w:rsid w:val="00DD62F7"/>
    <w:rsid w:val="00DF74DC"/>
    <w:rsid w:val="00E37F21"/>
    <w:rsid w:val="00E55631"/>
    <w:rsid w:val="00E62D04"/>
    <w:rsid w:val="00F04586"/>
    <w:rsid w:val="00F15A99"/>
    <w:rsid w:val="00F608AC"/>
    <w:rsid w:val="00F64110"/>
    <w:rsid w:val="00F9532D"/>
    <w:rsid w:val="00FB64F1"/>
    <w:rsid w:val="00FC4DA2"/>
    <w:rsid w:val="00FD52B8"/>
    <w:rsid w:val="00FD7DDB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7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600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960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4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80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dc.gov/labs/pdf/CDC-BiosafetyMicrobiologicalBiomedicalLaboratories-2020-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public-health/services/laboratory-biosafety-biosecurity/pathogen-safety-data-sheets-risk-assessment/human-coronaviru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m.edu/safety/lab/incident-repor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rpo/biosafety-oversigh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dc.gov/coronavirus/general-informa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787605-9C12-E749-B8BC-70CF0A1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18</cp:revision>
  <cp:lastPrinted>2017-06-13T17:58:00Z</cp:lastPrinted>
  <dcterms:created xsi:type="dcterms:W3CDTF">2020-04-05T17:31:00Z</dcterms:created>
  <dcterms:modified xsi:type="dcterms:W3CDTF">2020-12-14T15:05:00Z</dcterms:modified>
</cp:coreProperties>
</file>