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5BDA432A" w:rsidR="009F46B5" w:rsidRDefault="009F46B5"/>
    <w:p w14:paraId="2A9F28F2" w14:textId="77777777" w:rsidR="009F46B5" w:rsidRDefault="009F46B5">
      <w:pPr>
        <w:rPr>
          <w:b/>
        </w:rPr>
      </w:pPr>
      <w:r w:rsidRPr="009F46B5">
        <w:rPr>
          <w:b/>
        </w:rPr>
        <w:tab/>
      </w:r>
    </w:p>
    <w:p w14:paraId="5348602F" w14:textId="77777777" w:rsidR="009F46B5" w:rsidRDefault="009F46B5" w:rsidP="009F46B5">
      <w:pPr>
        <w:rPr>
          <w:rFonts w:ascii="Arial" w:eastAsia="Times New Roman" w:hAnsi="Arial" w:cs="Arial"/>
          <w:color w:val="454545"/>
          <w:sz w:val="18"/>
          <w:szCs w:val="18"/>
          <w:shd w:val="clear" w:color="auto" w:fill="FFFFFF"/>
        </w:rPr>
        <w:sectPr w:rsidR="009F46B5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55BEECC" w14:textId="77777777" w:rsidR="001D427C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 w:rsidR="001D427C"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7E0FD7C6" w14:textId="190DA45A" w:rsidR="00923D90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516FE6">
        <w:rPr>
          <w:rFonts w:eastAsia="Times New Roman" w:cstheme="minorHAnsi"/>
          <w:color w:val="454545"/>
          <w:shd w:val="clear" w:color="auto" w:fill="FFFFFF"/>
        </w:rPr>
        <w:t>The BARD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516FE6">
        <w:rPr>
          <w:rFonts w:eastAsia="Times New Roman" w:cstheme="minorHAnsi"/>
          <w:color w:val="454545"/>
          <w:shd w:val="clear" w:color="auto" w:fill="FFFFFF"/>
        </w:rPr>
        <w:t>may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3045DC">
        <w:rPr>
          <w:rFonts w:eastAsia="Times New Roman" w:cstheme="minorHAnsi"/>
          <w:color w:val="454545"/>
          <w:shd w:val="clear" w:color="auto" w:fill="FFFFFF"/>
        </w:rPr>
        <w:t>registration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60E11C27" w14:textId="77777777" w:rsidR="00923D90" w:rsidRDefault="00923D90" w:rsidP="00923D90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4FD00A7A" w14:textId="12973EE9" w:rsidR="00923D90" w:rsidRPr="005D69B7" w:rsidRDefault="00923D90" w:rsidP="005D69B7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5D69B7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516FE6">
        <w:rPr>
          <w:rFonts w:cstheme="minorHAnsi"/>
          <w:color w:val="454545"/>
          <w:shd w:val="clear" w:color="auto" w:fill="FFFFFF"/>
        </w:rPr>
        <w:t>all</w:t>
      </w:r>
      <w:r w:rsidRPr="00923D90">
        <w:rPr>
          <w:rFonts w:cstheme="minorHAnsi"/>
          <w:color w:val="454545"/>
          <w:shd w:val="clear" w:color="auto" w:fill="FFFFFF"/>
        </w:rPr>
        <w:t xml:space="preserve"> personnel have read, understood, and signed the document.</w:t>
      </w:r>
      <w:r>
        <w:rPr>
          <w:rFonts w:cstheme="minorHAnsi"/>
        </w:rPr>
        <w:t xml:space="preserve">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>The BARD is for informational purposes only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,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 xml:space="preserve">and is not intended to be a substitute for professional medical advice, diagnosis, or treatment. </w:t>
      </w:r>
    </w:p>
    <w:p w14:paraId="3BFC4AEF" w14:textId="7B2ECC53" w:rsidR="009F46B5" w:rsidRPr="00923D90" w:rsidRDefault="009F46B5" w:rsidP="00923D90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413A3B4F" w14:textId="77777777" w:rsidR="009F46B5" w:rsidRPr="009F46B5" w:rsidRDefault="009F46B5">
      <w:pPr>
        <w:rPr>
          <w:rFonts w:cstheme="minorHAnsi"/>
          <w:b/>
        </w:rPr>
      </w:pPr>
    </w:p>
    <w:p w14:paraId="72022DEC" w14:textId="77777777" w:rsidR="009F46B5" w:rsidRPr="009F46B5" w:rsidRDefault="009F46B5">
      <w:pPr>
        <w:rPr>
          <w:rFonts w:cstheme="minorHAnsi"/>
          <w:b/>
        </w:rPr>
      </w:pPr>
    </w:p>
    <w:p w14:paraId="56B072D4" w14:textId="65AD7784" w:rsidR="00923D90" w:rsidRPr="00923D90" w:rsidRDefault="009F46B5" w:rsidP="00923D90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2EBCDE3C" w14:textId="77777777" w:rsidR="00923D90" w:rsidRPr="00923D90" w:rsidRDefault="00923D90" w:rsidP="009F46B5">
      <w:pPr>
        <w:ind w:firstLine="720"/>
        <w:rPr>
          <w:rFonts w:cstheme="minorHAnsi"/>
          <w:b/>
        </w:rPr>
      </w:pPr>
    </w:p>
    <w:p w14:paraId="5D39706A" w14:textId="68670C95" w:rsidR="00923D90" w:rsidRP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 w:rsidR="001D427C">
        <w:rPr>
          <w:rFonts w:cstheme="minorHAnsi"/>
          <w:b/>
        </w:rPr>
        <w:t>.</w:t>
      </w:r>
    </w:p>
    <w:p w14:paraId="5578C92B" w14:textId="1FDAA9DF" w:rsidR="001D427C" w:rsidRPr="00516FE6" w:rsidRDefault="00923D90" w:rsidP="00516FE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 w:rsidR="001D427C"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516FE6">
        <w:rPr>
          <w:rFonts w:cstheme="minorHAnsi"/>
          <w:b/>
        </w:rPr>
        <w:t xml:space="preserve"> (such as strain-specific information). Please be sure that the track changes function is turned on to indicate </w:t>
      </w:r>
      <w:r w:rsidR="001D427C" w:rsidRPr="00516FE6">
        <w:rPr>
          <w:rFonts w:cstheme="minorHAnsi"/>
          <w:b/>
        </w:rPr>
        <w:t>any changes that you make.</w:t>
      </w:r>
    </w:p>
    <w:p w14:paraId="77129587" w14:textId="66FA2296" w:rsidR="00DC0F42" w:rsidRDefault="00516FE6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Instruct all</w:t>
      </w:r>
      <w:r w:rsidR="001D427C">
        <w:rPr>
          <w:rFonts w:cstheme="minorHAnsi"/>
          <w:b/>
        </w:rPr>
        <w:t xml:space="preserve"> personnel to review the BARD and sign the last page, indicating that they have </w:t>
      </w:r>
    </w:p>
    <w:p w14:paraId="7F863018" w14:textId="44EA5590" w:rsidR="001D427C" w:rsidRDefault="001D427C" w:rsidP="00DC0F42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read and understood </w:t>
      </w:r>
      <w:r w:rsidR="00DC0F42">
        <w:rPr>
          <w:rFonts w:cstheme="minorHAnsi"/>
          <w:b/>
        </w:rPr>
        <w:t>the information.</w:t>
      </w:r>
    </w:p>
    <w:p w14:paraId="3644D4F2" w14:textId="261461E7" w:rsid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 w:rsidR="001D427C">
        <w:rPr>
          <w:rFonts w:cstheme="minorHAnsi"/>
          <w:b/>
        </w:rPr>
        <w:t xml:space="preserve">IBC </w:t>
      </w:r>
      <w:r w:rsidR="005D69B7">
        <w:rPr>
          <w:rFonts w:cstheme="minorHAnsi"/>
          <w:b/>
        </w:rPr>
        <w:t xml:space="preserve">master protocol </w:t>
      </w:r>
      <w:r w:rsidR="00447103">
        <w:rPr>
          <w:rFonts w:cstheme="minorHAnsi"/>
          <w:b/>
        </w:rPr>
        <w:t>registration</w:t>
      </w:r>
      <w:r w:rsidRPr="00923D90">
        <w:rPr>
          <w:rFonts w:cstheme="minorHAnsi"/>
          <w:b/>
        </w:rPr>
        <w:t>, amendment, or continuing review</w:t>
      </w:r>
      <w:r w:rsidR="001D427C">
        <w:rPr>
          <w:rFonts w:cstheme="minorHAnsi"/>
          <w:b/>
        </w:rPr>
        <w:t>.</w:t>
      </w:r>
    </w:p>
    <w:p w14:paraId="4AC78947" w14:textId="77777777" w:rsidR="009F46B5" w:rsidRDefault="009F46B5">
      <w:pPr>
        <w:rPr>
          <w:b/>
        </w:rPr>
      </w:pPr>
    </w:p>
    <w:p w14:paraId="63EA4208" w14:textId="77777777" w:rsidR="009F46B5" w:rsidRDefault="009F46B5">
      <w:pPr>
        <w:rPr>
          <w:b/>
        </w:rPr>
      </w:pPr>
    </w:p>
    <w:p w14:paraId="58009629" w14:textId="77777777" w:rsidR="009F46B5" w:rsidRDefault="009F46B5">
      <w:pPr>
        <w:rPr>
          <w:b/>
        </w:rPr>
        <w:sectPr w:rsidR="009F46B5" w:rsidSect="009F46B5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6AC036ED" w14:textId="1A9EC537" w:rsidR="009F46B5" w:rsidRPr="009F46B5" w:rsidRDefault="009F46B5">
      <w:pPr>
        <w:rPr>
          <w:b/>
        </w:rPr>
      </w:pPr>
      <w:r>
        <w:rPr>
          <w:b/>
        </w:rPr>
        <w:tab/>
      </w:r>
      <w:r w:rsidRPr="009F46B5">
        <w:rPr>
          <w:b/>
        </w:rPr>
        <w:br w:type="page"/>
      </w:r>
    </w:p>
    <w:p w14:paraId="65A090A7" w14:textId="77777777" w:rsidR="00F15A99" w:rsidRDefault="00F15A99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33A4316E" w:rsidR="00C13ABF" w:rsidRPr="003237DD" w:rsidRDefault="00944754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Heat-labile e</w:t>
            </w:r>
            <w:r w:rsidR="003A2BF4">
              <w:rPr>
                <w:sz w:val="20"/>
                <w:szCs w:val="20"/>
              </w:rPr>
              <w:t>ntero</w:t>
            </w:r>
            <w:r w:rsidR="0067161A">
              <w:rPr>
                <w:sz w:val="20"/>
                <w:szCs w:val="20"/>
              </w:rPr>
              <w:t>t</w:t>
            </w:r>
            <w:r w:rsidR="00983E97">
              <w:rPr>
                <w:sz w:val="20"/>
                <w:szCs w:val="20"/>
              </w:rPr>
              <w:t>oxin produced by the bacteri</w:t>
            </w:r>
            <w:r w:rsidR="00757E06">
              <w:rPr>
                <w:sz w:val="20"/>
                <w:szCs w:val="20"/>
              </w:rPr>
              <w:t>a</w:t>
            </w:r>
            <w:r w:rsidR="00983E97">
              <w:rPr>
                <w:sz w:val="20"/>
                <w:szCs w:val="20"/>
              </w:rPr>
              <w:t xml:space="preserve"> </w:t>
            </w:r>
            <w:r w:rsidR="0067161A">
              <w:rPr>
                <w:i/>
                <w:sz w:val="20"/>
                <w:szCs w:val="20"/>
              </w:rPr>
              <w:t>Vibrio cholerae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944754">
              <w:rPr>
                <w:iCs/>
                <w:sz w:val="20"/>
                <w:szCs w:val="20"/>
              </w:rPr>
              <w:t xml:space="preserve">86 </w:t>
            </w:r>
            <w:proofErr w:type="spellStart"/>
            <w:r w:rsidRPr="00944754">
              <w:rPr>
                <w:iCs/>
                <w:sz w:val="20"/>
                <w:szCs w:val="20"/>
              </w:rPr>
              <w:t>kDa</w:t>
            </w:r>
            <w:proofErr w:type="spellEnd"/>
            <w:r w:rsidRPr="00944754">
              <w:rPr>
                <w:iCs/>
                <w:sz w:val="20"/>
                <w:szCs w:val="20"/>
              </w:rPr>
              <w:t xml:space="preserve"> in size</w:t>
            </w:r>
            <w:r>
              <w:rPr>
                <w:i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Consists of one A subunit and five B subunits, all of which are required to cause toxic effects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5736DF3B" w:rsidR="00D34367" w:rsidRDefault="0094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Binds to intestinal epithelial cells, causing</w:t>
            </w:r>
            <w:r w:rsidR="00FD65A0">
              <w:rPr>
                <w:sz w:val="20"/>
                <w:szCs w:val="20"/>
              </w:rPr>
              <w:t xml:space="preserve"> characteristic dehydration</w:t>
            </w:r>
            <w:r>
              <w:rPr>
                <w:sz w:val="20"/>
                <w:szCs w:val="20"/>
              </w:rPr>
              <w:t xml:space="preserve"> </w:t>
            </w:r>
            <w:r w:rsidR="00FD65A0">
              <w:rPr>
                <w:sz w:val="20"/>
                <w:szCs w:val="20"/>
              </w:rPr>
              <w:t>associated with</w:t>
            </w:r>
            <w:r>
              <w:rPr>
                <w:sz w:val="20"/>
                <w:szCs w:val="20"/>
              </w:rPr>
              <w:t xml:space="preserve"> cholera infection</w:t>
            </w: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6F702FEC" w:rsidR="00C13ABF" w:rsidRDefault="00323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5ADE6CEB" w:rsidR="00C13ABF" w:rsidRDefault="005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Inhalation, mucous membrane contact, sharps injury, ingestion</w:t>
            </w:r>
            <w:r w:rsidR="00757E06">
              <w:rPr>
                <w:sz w:val="20"/>
                <w:szCs w:val="20"/>
              </w:rPr>
              <w:t>, dermal contact.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54865453" w:rsidR="00C13ABF" w:rsidRDefault="0044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v</w:t>
            </w:r>
            <w:r w:rsidR="0067161A">
              <w:rPr>
                <w:sz w:val="20"/>
                <w:szCs w:val="20"/>
              </w:rPr>
              <w:t>omiting, diarrhea</w:t>
            </w:r>
            <w:r w:rsidR="00E2582F">
              <w:rPr>
                <w:sz w:val="20"/>
                <w:szCs w:val="20"/>
              </w:rPr>
              <w:t xml:space="preserve"> (grey and cloudy)</w:t>
            </w:r>
            <w:r w:rsidR="0067161A">
              <w:rPr>
                <w:sz w:val="20"/>
                <w:szCs w:val="20"/>
              </w:rPr>
              <w:t xml:space="preserve">, abdominal pain, dehydration, irritation at the site of exposure, </w:t>
            </w:r>
            <w:r>
              <w:rPr>
                <w:sz w:val="20"/>
                <w:szCs w:val="20"/>
              </w:rPr>
              <w:t>reduced heart rate, or hypotension. More severe exposure may result in seizures, coma, or death.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3C783BDF" w:rsidR="00F04586" w:rsidRPr="00D67EC6" w:rsidRDefault="00983E9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Toxic </w:t>
            </w:r>
            <w:r w:rsidR="00D67EC6" w:rsidRPr="00D67EC6">
              <w:rPr>
                <w:b/>
                <w:i/>
                <w:sz w:val="20"/>
                <w:szCs w:val="20"/>
              </w:rPr>
              <w:t>Dose</w:t>
            </w:r>
          </w:p>
        </w:tc>
        <w:tc>
          <w:tcPr>
            <w:tcW w:w="4230" w:type="dxa"/>
          </w:tcPr>
          <w:p w14:paraId="4A533FA3" w14:textId="06ACCD77" w:rsidR="00F04586" w:rsidRPr="00F441A2" w:rsidRDefault="0067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  <w:r w:rsidRPr="00FA702B">
              <w:rPr>
                <w:sz w:val="16"/>
                <w:szCs w:val="16"/>
              </w:rPr>
              <w:t>50</w:t>
            </w:r>
            <w:r w:rsidR="00FA702B">
              <w:rPr>
                <w:sz w:val="20"/>
                <w:szCs w:val="20"/>
              </w:rPr>
              <w:t xml:space="preserve"> = 250 </w:t>
            </w:r>
            <w:r w:rsidR="00FA702B">
              <w:rPr>
                <w:sz w:val="20"/>
                <w:szCs w:val="20"/>
              </w:rPr>
              <w:sym w:font="Symbol" w:char="F06D"/>
            </w:r>
            <w:r w:rsidR="00FA702B">
              <w:rPr>
                <w:sz w:val="20"/>
                <w:szCs w:val="20"/>
              </w:rPr>
              <w:t>g/kg (mouse</w:t>
            </w:r>
            <w:r w:rsidR="00FD5779">
              <w:rPr>
                <w:sz w:val="20"/>
                <w:szCs w:val="20"/>
              </w:rPr>
              <w:t xml:space="preserve">, </w:t>
            </w:r>
            <w:proofErr w:type="spellStart"/>
            <w:r w:rsidR="00FD5779">
              <w:rPr>
                <w:sz w:val="20"/>
                <w:szCs w:val="20"/>
              </w:rPr>
              <w:t>i.v.</w:t>
            </w:r>
            <w:proofErr w:type="spellEnd"/>
            <w:r w:rsidR="00FA702B">
              <w:rPr>
                <w:sz w:val="20"/>
                <w:szCs w:val="20"/>
              </w:rPr>
              <w:t>)</w:t>
            </w:r>
            <w:r w:rsidR="00FD4D3D">
              <w:rPr>
                <w:sz w:val="20"/>
                <w:szCs w:val="20"/>
              </w:rPr>
              <w:t xml:space="preserve"> 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38B26E74" w:rsidR="00F04586" w:rsidRDefault="0042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for toxin alone. 1 hour – 5 days for </w:t>
            </w:r>
            <w:r w:rsidRPr="00421DD1">
              <w:rPr>
                <w:i/>
                <w:iCs/>
                <w:sz w:val="20"/>
                <w:szCs w:val="20"/>
              </w:rPr>
              <w:t>Vibrio cholerae</w:t>
            </w:r>
            <w:r>
              <w:rPr>
                <w:sz w:val="20"/>
                <w:szCs w:val="20"/>
              </w:rPr>
              <w:t xml:space="preserve"> infection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74BFF49E" w:rsidR="00D67EC6" w:rsidRDefault="00323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  <w:r w:rsidR="00D34367">
              <w:rPr>
                <w:sz w:val="20"/>
                <w:szCs w:val="20"/>
              </w:rPr>
              <w:t xml:space="preserve"> for toxin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7610B1E6" w:rsidR="00D67EC6" w:rsidRDefault="0067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recommended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0FDD592D" w:rsidR="00D67EC6" w:rsidRDefault="00323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treatment</w:t>
            </w:r>
            <w:r w:rsidR="00FB4CD0">
              <w:rPr>
                <w:sz w:val="20"/>
                <w:szCs w:val="20"/>
              </w:rPr>
              <w:t>, fluid replacement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4CE4F480" w:rsidR="00D67EC6" w:rsidRDefault="00323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symptoms</w:t>
            </w:r>
            <w:r w:rsidR="00421DD1">
              <w:rPr>
                <w:sz w:val="20"/>
                <w:szCs w:val="20"/>
              </w:rPr>
              <w:t>. Detection of toxin may be achieved by ELISA or PCR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723C7864" w:rsidR="00C13ABF" w:rsidRPr="00421DD1" w:rsidRDefault="00421DD1" w:rsidP="00421DD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There is an increased risk for</w:t>
            </w:r>
            <w:r w:rsidRPr="00421DD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pregnant women during late pregnancy as abortion, premature labor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421DD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fetal death may occur</w:t>
            </w: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52"/>
        <w:tblW w:w="5661" w:type="dxa"/>
        <w:tblLook w:val="04A0" w:firstRow="1" w:lastRow="0" w:firstColumn="1" w:lastColumn="0" w:noHBand="0" w:noVBand="1"/>
      </w:tblPr>
      <w:tblGrid>
        <w:gridCol w:w="1341"/>
        <w:gridCol w:w="4320"/>
      </w:tblGrid>
      <w:tr w:rsidR="00C13ABF" w14:paraId="14AF783F" w14:textId="77777777" w:rsidTr="00D04FF9">
        <w:tc>
          <w:tcPr>
            <w:tcW w:w="5661" w:type="dxa"/>
            <w:gridSpan w:val="2"/>
            <w:shd w:val="clear" w:color="auto" w:fill="538135" w:themeFill="accent6" w:themeFillShade="BF"/>
          </w:tcPr>
          <w:p w14:paraId="31C2AE8F" w14:textId="77777777" w:rsidR="00C13ABF" w:rsidRPr="005733C9" w:rsidRDefault="00C13ABF" w:rsidP="00C13ABF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D04FF9" w14:paraId="42F8054E" w14:textId="77777777" w:rsidTr="00D04FF9">
        <w:tc>
          <w:tcPr>
            <w:tcW w:w="1341" w:type="dxa"/>
          </w:tcPr>
          <w:p w14:paraId="2AA4C9A0" w14:textId="5C3117FE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Laboratory </w:t>
            </w:r>
            <w:r w:rsidR="00983E97">
              <w:rPr>
                <w:b/>
                <w:i/>
                <w:sz w:val="20"/>
                <w:szCs w:val="20"/>
              </w:rPr>
              <w:t>Exposures</w:t>
            </w:r>
          </w:p>
        </w:tc>
        <w:tc>
          <w:tcPr>
            <w:tcW w:w="4320" w:type="dxa"/>
          </w:tcPr>
          <w:p w14:paraId="094F518B" w14:textId="02FCF2B2" w:rsidR="00C13ABF" w:rsidRDefault="0067161A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data. 12 cases with 4 deaths reported up to 1979 for </w:t>
            </w:r>
            <w:r w:rsidRPr="0067161A">
              <w:rPr>
                <w:i/>
                <w:sz w:val="20"/>
                <w:szCs w:val="20"/>
              </w:rPr>
              <w:t>Vibrio cholera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infections.</w:t>
            </w:r>
          </w:p>
        </w:tc>
      </w:tr>
      <w:tr w:rsidR="00D04FF9" w14:paraId="409ED8AB" w14:textId="77777777" w:rsidTr="007E03EE">
        <w:trPr>
          <w:trHeight w:val="334"/>
        </w:trPr>
        <w:tc>
          <w:tcPr>
            <w:tcW w:w="1341" w:type="dxa"/>
          </w:tcPr>
          <w:p w14:paraId="3FF069F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320" w:type="dxa"/>
          </w:tcPr>
          <w:p w14:paraId="051CE58C" w14:textId="1F492A1B" w:rsidR="00C13ABF" w:rsidRDefault="0067161A" w:rsidP="00C13AB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Vibrio cholerae</w:t>
            </w:r>
          </w:p>
        </w:tc>
      </w:tr>
    </w:tbl>
    <w:p w14:paraId="5F0BAA1C" w14:textId="77777777" w:rsidR="00E37F21" w:rsidRDefault="00E37F21">
      <w:pPr>
        <w:rPr>
          <w:sz w:val="20"/>
          <w:szCs w:val="20"/>
        </w:rPr>
      </w:pPr>
    </w:p>
    <w:p w14:paraId="35464755" w14:textId="77777777" w:rsidR="005733C9" w:rsidRDefault="005733C9">
      <w:pPr>
        <w:rPr>
          <w:sz w:val="20"/>
          <w:szCs w:val="20"/>
        </w:rPr>
      </w:pPr>
    </w:p>
    <w:p w14:paraId="77D3978A" w14:textId="59A718CB" w:rsidR="00C13ABF" w:rsidRDefault="00C13ABF">
      <w:pPr>
        <w:rPr>
          <w:sz w:val="20"/>
          <w:szCs w:val="20"/>
        </w:rPr>
      </w:pPr>
    </w:p>
    <w:p w14:paraId="7A6EF9E9" w14:textId="77777777" w:rsidR="00182E75" w:rsidRDefault="00182E75">
      <w:pPr>
        <w:rPr>
          <w:sz w:val="20"/>
          <w:szCs w:val="20"/>
        </w:rPr>
      </w:pPr>
    </w:p>
    <w:p w14:paraId="25386428" w14:textId="77777777" w:rsidR="003237DD" w:rsidRDefault="003237DD">
      <w:pPr>
        <w:rPr>
          <w:sz w:val="20"/>
          <w:szCs w:val="20"/>
        </w:rPr>
      </w:pPr>
    </w:p>
    <w:p w14:paraId="642B4984" w14:textId="64507DFF" w:rsidR="005733C9" w:rsidRDefault="005733C9">
      <w:pPr>
        <w:rPr>
          <w:sz w:val="20"/>
          <w:szCs w:val="20"/>
        </w:rPr>
      </w:pPr>
    </w:p>
    <w:p w14:paraId="7EFE79FF" w14:textId="77777777" w:rsidR="00FB4CD0" w:rsidRDefault="00FB4CD0">
      <w:pPr>
        <w:rPr>
          <w:sz w:val="20"/>
          <w:szCs w:val="20"/>
        </w:rPr>
      </w:pPr>
    </w:p>
    <w:p w14:paraId="0B79B2EC" w14:textId="56D1CAB8" w:rsidR="00D34367" w:rsidRDefault="00D34367">
      <w:pPr>
        <w:rPr>
          <w:sz w:val="20"/>
          <w:szCs w:val="20"/>
        </w:rPr>
      </w:pPr>
    </w:p>
    <w:p w14:paraId="495ADD85" w14:textId="77777777" w:rsidR="00D34367" w:rsidRDefault="00D34367">
      <w:pPr>
        <w:rPr>
          <w:sz w:val="20"/>
          <w:szCs w:val="20"/>
        </w:rPr>
      </w:pPr>
    </w:p>
    <w:p w14:paraId="5D89E7DC" w14:textId="77777777" w:rsidR="00E37F21" w:rsidRDefault="00E37F21">
      <w:pPr>
        <w:rPr>
          <w:sz w:val="20"/>
          <w:szCs w:val="20"/>
        </w:rPr>
      </w:pPr>
    </w:p>
    <w:p w14:paraId="607983A8" w14:textId="77777777" w:rsidR="005733C9" w:rsidRDefault="005733C9">
      <w:pPr>
        <w:rPr>
          <w:sz w:val="20"/>
          <w:szCs w:val="20"/>
        </w:rPr>
      </w:pPr>
    </w:p>
    <w:p w14:paraId="28EAE36D" w14:textId="77777777" w:rsidR="00C13ABF" w:rsidRDefault="00C13ABF">
      <w:pPr>
        <w:rPr>
          <w:sz w:val="20"/>
          <w:szCs w:val="20"/>
        </w:rPr>
      </w:pPr>
    </w:p>
    <w:p w14:paraId="56239521" w14:textId="45FB029A" w:rsidR="00C13ABF" w:rsidRDefault="00C13ABF">
      <w:pPr>
        <w:rPr>
          <w:sz w:val="20"/>
          <w:szCs w:val="20"/>
        </w:rPr>
      </w:pPr>
    </w:p>
    <w:p w14:paraId="52315A75" w14:textId="4A68231A" w:rsidR="00FE2656" w:rsidRDefault="00FE2656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4250"/>
      </w:tblGrid>
      <w:tr w:rsidR="00C13ABF" w14:paraId="7326FC39" w14:textId="77777777" w:rsidTr="00C13ABF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C13ABF" w14:paraId="3295084F" w14:textId="77777777" w:rsidTr="00C13ABF">
        <w:tc>
          <w:tcPr>
            <w:tcW w:w="1530" w:type="dxa"/>
          </w:tcPr>
          <w:p w14:paraId="39A71051" w14:textId="77777777" w:rsidR="005733C9" w:rsidRPr="00983E97" w:rsidRDefault="00680AC1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83E97">
              <w:rPr>
                <w:b/>
                <w:i/>
                <w:color w:val="000000" w:themeColor="text1"/>
                <w:sz w:val="20"/>
                <w:szCs w:val="20"/>
              </w:rPr>
              <w:t>BSL - 2</w:t>
            </w:r>
          </w:p>
        </w:tc>
        <w:tc>
          <w:tcPr>
            <w:tcW w:w="4250" w:type="dxa"/>
          </w:tcPr>
          <w:p w14:paraId="4A5C6B1A" w14:textId="780BAFD1" w:rsidR="00983E97" w:rsidRPr="00983E97" w:rsidRDefault="00983E97" w:rsidP="00983E9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83E97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Preparation</w:t>
            </w:r>
            <w:r w:rsidR="003237DD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or </w:t>
            </w:r>
            <w:r w:rsidRPr="00983E97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dilution of the agent, work with clinical specimens and cultures known or suspected to contain the agent</w:t>
            </w:r>
          </w:p>
          <w:p w14:paraId="5929C5C5" w14:textId="0BFB7FA4" w:rsidR="005733C9" w:rsidRPr="00983E97" w:rsidRDefault="005733C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13ABF" w14:paraId="50B71E50" w14:textId="77777777" w:rsidTr="00C13ABF">
        <w:tc>
          <w:tcPr>
            <w:tcW w:w="153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250" w:type="dxa"/>
          </w:tcPr>
          <w:p w14:paraId="519809A7" w14:textId="0F581268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449673AC" w14:textId="77777777" w:rsidTr="00C13ABF">
        <w:tc>
          <w:tcPr>
            <w:tcW w:w="153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250" w:type="dxa"/>
          </w:tcPr>
          <w:p w14:paraId="17E84471" w14:textId="2A35CA6D" w:rsidR="005733C9" w:rsidRDefault="00983E97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of the agent to an animal model</w:t>
            </w:r>
            <w:r w:rsidR="003237DD">
              <w:rPr>
                <w:sz w:val="20"/>
                <w:szCs w:val="20"/>
              </w:rPr>
              <w:t xml:space="preserve">. Animals </w:t>
            </w:r>
            <w:r>
              <w:rPr>
                <w:sz w:val="20"/>
                <w:szCs w:val="20"/>
              </w:rPr>
              <w:t>may be housed at ABSL-1 post-exposure</w:t>
            </w:r>
          </w:p>
        </w:tc>
      </w:tr>
      <w:tr w:rsidR="00C13ABF" w14:paraId="48F1431D" w14:textId="77777777" w:rsidTr="00C13ABF">
        <w:tc>
          <w:tcPr>
            <w:tcW w:w="153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250" w:type="dxa"/>
          </w:tcPr>
          <w:p w14:paraId="70780F56" w14:textId="40C6C924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6AFE6ACB" w14:textId="77777777" w:rsidTr="00C13ABF">
        <w:tc>
          <w:tcPr>
            <w:tcW w:w="153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50" w:type="dxa"/>
          </w:tcPr>
          <w:p w14:paraId="6871A61C" w14:textId="3E071C5B" w:rsidR="004F4CD9" w:rsidRDefault="0098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Centrifugation, homogenizing, </w:t>
            </w:r>
            <w:proofErr w:type="spellStart"/>
            <w:r>
              <w:rPr>
                <w:sz w:val="20"/>
                <w:szCs w:val="20"/>
              </w:rPr>
              <w:t>vortexing</w:t>
            </w:r>
            <w:proofErr w:type="spellEnd"/>
            <w:r>
              <w:rPr>
                <w:sz w:val="20"/>
                <w:szCs w:val="20"/>
              </w:rPr>
              <w:t xml:space="preserve"> or stirring, pipetting, pouring liquids, filling or expelling syringes</w:t>
            </w:r>
          </w:p>
        </w:tc>
      </w:tr>
      <w:tr w:rsidR="00983E97" w14:paraId="41CE5316" w14:textId="77777777" w:rsidTr="00C13ABF">
        <w:tc>
          <w:tcPr>
            <w:tcW w:w="1530" w:type="dxa"/>
          </w:tcPr>
          <w:p w14:paraId="6F5334EB" w14:textId="32287C5F" w:rsidR="00983E97" w:rsidRPr="00E37F21" w:rsidRDefault="00983E97" w:rsidP="00983E97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</w:t>
            </w:r>
          </w:p>
        </w:tc>
        <w:tc>
          <w:tcPr>
            <w:tcW w:w="4250" w:type="dxa"/>
          </w:tcPr>
          <w:p w14:paraId="662202B2" w14:textId="05274A87" w:rsidR="00983E97" w:rsidRDefault="00983E97" w:rsidP="0098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chemical fume hood, </w:t>
            </w:r>
            <w:r w:rsidR="00757E06">
              <w:rPr>
                <w:sz w:val="20"/>
                <w:szCs w:val="20"/>
              </w:rPr>
              <w:t>biosafety cabinet</w:t>
            </w:r>
            <w:r>
              <w:rPr>
                <w:sz w:val="20"/>
                <w:szCs w:val="20"/>
              </w:rPr>
              <w:t>, or glove box for preparing stocks and dilutions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C13ABF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C13ABF" w14:paraId="6057CB70" w14:textId="77777777" w:rsidTr="00C13ABF">
        <w:tc>
          <w:tcPr>
            <w:tcW w:w="153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21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C13ABF" w14:paraId="6F0C3BBB" w14:textId="77777777" w:rsidTr="00C13ABF">
        <w:trPr>
          <w:trHeight w:val="521"/>
        </w:trPr>
        <w:tc>
          <w:tcPr>
            <w:tcW w:w="153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21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C13ABF" w14:paraId="79348B75" w14:textId="77777777" w:rsidTr="00C13ABF">
        <w:tc>
          <w:tcPr>
            <w:tcW w:w="153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218" w:type="dxa"/>
          </w:tcPr>
          <w:p w14:paraId="482CC955" w14:textId="34C2DD82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="00FC4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  <w:r w:rsidR="00487C23">
              <w:rPr>
                <w:sz w:val="20"/>
                <w:szCs w:val="20"/>
              </w:rPr>
              <w:t>. Bring this document with you if seeking medical care.</w:t>
            </w:r>
          </w:p>
        </w:tc>
      </w:tr>
      <w:tr w:rsidR="00C13ABF" w14:paraId="7AD6EA23" w14:textId="77777777" w:rsidTr="00C13ABF">
        <w:tc>
          <w:tcPr>
            <w:tcW w:w="153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218" w:type="dxa"/>
          </w:tcPr>
          <w:p w14:paraId="50606FB1" w14:textId="77777777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</w:t>
            </w:r>
            <w:r w:rsidR="00C13ABF">
              <w:rPr>
                <w:sz w:val="20"/>
                <w:szCs w:val="20"/>
              </w:rPr>
              <w:t xml:space="preserve"> near misses to</w:t>
            </w:r>
            <w:r>
              <w:rPr>
                <w:sz w:val="20"/>
                <w:szCs w:val="20"/>
              </w:rPr>
              <w:t>:</w:t>
            </w:r>
          </w:p>
          <w:p w14:paraId="2BDCB0D7" w14:textId="77777777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4C78EF96" w14:textId="016E71F8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44A336DB" w:rsidR="005A175C" w:rsidRP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="000D53FA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568C3245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6A64FDD0" w:rsidR="009E6568" w:rsidRDefault="0051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Nitrile gloves, lab coat or gown, appropriate eye/face protection. Wash hands after removing gloves.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6660293D" w14:textId="77777777" w:rsidR="009E6568" w:rsidRDefault="00F608AC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121AEE77" w:rsidR="008603B3" w:rsidRPr="00E37F21" w:rsidRDefault="008603B3" w:rsidP="00C13AB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</w:p>
        </w:tc>
        <w:tc>
          <w:tcPr>
            <w:tcW w:w="4255" w:type="dxa"/>
          </w:tcPr>
          <w:p w14:paraId="3F8D51A6" w14:textId="3EFCCC67" w:rsidR="00F608AC" w:rsidRDefault="00983E97" w:rsidP="00FE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Store in a secure location</w:t>
            </w:r>
          </w:p>
        </w:tc>
      </w:tr>
    </w:tbl>
    <w:p w14:paraId="12C9E9B3" w14:textId="0977F57C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115B34" w14:textId="77777777" w:rsidR="00757E06" w:rsidRDefault="00757E06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301F2C2B" w:rsidR="00E37F21" w:rsidRDefault="0050120A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bleach with a contact time of 30 minutes. 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5121EFAA" w:rsidR="00E37F21" w:rsidRPr="0036122E" w:rsidRDefault="0050120A" w:rsidP="00C13ABF">
            <w:r>
              <w:rPr>
                <w:sz w:val="20"/>
                <w:szCs w:val="20"/>
              </w:rPr>
              <w:t xml:space="preserve">Autoclaving at </w:t>
            </w:r>
            <w:r w:rsidRPr="00481C1B">
              <w:rPr>
                <w:rFonts w:cstheme="minorHAnsi"/>
                <w:sz w:val="20"/>
                <w:szCs w:val="20"/>
              </w:rPr>
              <w:t>121</w:t>
            </w:r>
            <w:r w:rsidR="00481C1B" w:rsidRPr="00481C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°C for 15 </w:t>
            </w:r>
            <w:r w:rsidR="00481C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481C1B" w:rsidRPr="00481C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30 min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7B3591A9" w:rsidR="00E37F21" w:rsidRPr="00E37F21" w:rsidRDefault="003612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Stability in Environment</w:t>
            </w:r>
          </w:p>
        </w:tc>
        <w:tc>
          <w:tcPr>
            <w:tcW w:w="4393" w:type="dxa"/>
          </w:tcPr>
          <w:p w14:paraId="34F93AD8" w14:textId="64CCE623" w:rsidR="00E37F21" w:rsidRDefault="003237DD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 at normal room temperature and pressure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D04FF9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2C031240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516FE6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</w:t>
            </w:r>
            <w:proofErr w:type="spellStart"/>
            <w:r>
              <w:rPr>
                <w:sz w:val="20"/>
                <w:szCs w:val="20"/>
              </w:rPr>
              <w:t>biobox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137DE" w14:paraId="211C77A1" w14:textId="77777777" w:rsidTr="00D04FF9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3" w:type="dxa"/>
        <w:tblLook w:val="04A0" w:firstRow="1" w:lastRow="0" w:firstColumn="1" w:lastColumn="0" w:noHBand="0" w:noVBand="1"/>
      </w:tblPr>
      <w:tblGrid>
        <w:gridCol w:w="11783"/>
      </w:tblGrid>
      <w:tr w:rsidR="00C13ABF" w:rsidRPr="004A786C" w14:paraId="0D1D2274" w14:textId="77777777" w:rsidTr="00C13ABF">
        <w:trPr>
          <w:trHeight w:val="332"/>
        </w:trPr>
        <w:tc>
          <w:tcPr>
            <w:tcW w:w="11783" w:type="dxa"/>
            <w:shd w:val="clear" w:color="auto" w:fill="538135" w:themeFill="accent6" w:themeFillShade="BF"/>
          </w:tcPr>
          <w:p w14:paraId="41E519D7" w14:textId="50930E48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C13ABF">
              <w:rPr>
                <w:b/>
                <w:caps/>
                <w:color w:val="FFFFFF" w:themeColor="background1"/>
              </w:rPr>
              <w:t xml:space="preserve">                                                               SIGNATURE                                                            DATE</w:t>
            </w:r>
          </w:p>
        </w:tc>
      </w:tr>
      <w:tr w:rsidR="00C13ABF" w:rsidRPr="004A786C" w14:paraId="1785F972" w14:textId="77777777" w:rsidTr="00C13ABF">
        <w:trPr>
          <w:trHeight w:val="257"/>
        </w:trPr>
        <w:tc>
          <w:tcPr>
            <w:tcW w:w="11783" w:type="dxa"/>
          </w:tcPr>
          <w:p w14:paraId="31BF6B59" w14:textId="77777777" w:rsidR="00775188" w:rsidRPr="004A786C" w:rsidRDefault="00775188" w:rsidP="00775188"/>
        </w:tc>
      </w:tr>
      <w:tr w:rsidR="00C13ABF" w:rsidRPr="004A786C" w14:paraId="0959FE22" w14:textId="77777777" w:rsidTr="00C13ABF">
        <w:trPr>
          <w:trHeight w:val="257"/>
        </w:trPr>
        <w:tc>
          <w:tcPr>
            <w:tcW w:w="11783" w:type="dxa"/>
          </w:tcPr>
          <w:p w14:paraId="09BF422A" w14:textId="77777777" w:rsidR="00775188" w:rsidRPr="004A786C" w:rsidRDefault="00775188" w:rsidP="00775188"/>
        </w:tc>
      </w:tr>
      <w:tr w:rsidR="00C13ABF" w:rsidRPr="004A786C" w14:paraId="5E2D6C9C" w14:textId="77777777" w:rsidTr="00C13ABF">
        <w:trPr>
          <w:trHeight w:val="257"/>
        </w:trPr>
        <w:tc>
          <w:tcPr>
            <w:tcW w:w="11783" w:type="dxa"/>
          </w:tcPr>
          <w:p w14:paraId="5C770CA8" w14:textId="77777777" w:rsidR="00775188" w:rsidRPr="004A786C" w:rsidRDefault="00775188" w:rsidP="00775188"/>
        </w:tc>
      </w:tr>
      <w:tr w:rsidR="00C13ABF" w:rsidRPr="004A786C" w14:paraId="689896BF" w14:textId="77777777" w:rsidTr="00C13ABF">
        <w:trPr>
          <w:trHeight w:val="257"/>
        </w:trPr>
        <w:tc>
          <w:tcPr>
            <w:tcW w:w="11783" w:type="dxa"/>
          </w:tcPr>
          <w:p w14:paraId="0FAC85E0" w14:textId="77777777" w:rsidR="00775188" w:rsidRPr="004A786C" w:rsidRDefault="00775188" w:rsidP="00775188"/>
        </w:tc>
      </w:tr>
      <w:tr w:rsidR="00C13ABF" w:rsidRPr="004A786C" w14:paraId="57371DBA" w14:textId="77777777" w:rsidTr="00C13ABF">
        <w:trPr>
          <w:trHeight w:val="257"/>
        </w:trPr>
        <w:tc>
          <w:tcPr>
            <w:tcW w:w="11783" w:type="dxa"/>
          </w:tcPr>
          <w:p w14:paraId="40DC1C51" w14:textId="77777777" w:rsidR="00775188" w:rsidRPr="004A786C" w:rsidRDefault="00775188" w:rsidP="00775188"/>
        </w:tc>
      </w:tr>
      <w:tr w:rsidR="00C13ABF" w:rsidRPr="004A786C" w14:paraId="50FB741A" w14:textId="77777777" w:rsidTr="00C13ABF">
        <w:trPr>
          <w:trHeight w:val="257"/>
        </w:trPr>
        <w:tc>
          <w:tcPr>
            <w:tcW w:w="11783" w:type="dxa"/>
          </w:tcPr>
          <w:p w14:paraId="787C3B4A" w14:textId="77777777" w:rsidR="00775188" w:rsidRPr="004A786C" w:rsidRDefault="00775188" w:rsidP="00775188"/>
        </w:tc>
      </w:tr>
      <w:tr w:rsidR="00C13ABF" w:rsidRPr="004A786C" w14:paraId="14B6D0F1" w14:textId="77777777" w:rsidTr="00C13ABF">
        <w:trPr>
          <w:trHeight w:val="257"/>
        </w:trPr>
        <w:tc>
          <w:tcPr>
            <w:tcW w:w="11783" w:type="dxa"/>
          </w:tcPr>
          <w:p w14:paraId="63C1967B" w14:textId="77777777" w:rsidR="00775188" w:rsidRPr="004A786C" w:rsidRDefault="00775188" w:rsidP="00775188"/>
        </w:tc>
      </w:tr>
      <w:tr w:rsidR="00C13ABF" w:rsidRPr="004A786C" w14:paraId="261CD8E4" w14:textId="77777777" w:rsidTr="00C13ABF">
        <w:trPr>
          <w:trHeight w:val="257"/>
        </w:trPr>
        <w:tc>
          <w:tcPr>
            <w:tcW w:w="11783" w:type="dxa"/>
          </w:tcPr>
          <w:p w14:paraId="447A6260" w14:textId="77777777" w:rsidR="00775188" w:rsidRPr="004A786C" w:rsidRDefault="00775188" w:rsidP="00775188"/>
        </w:tc>
      </w:tr>
      <w:tr w:rsidR="006032FB" w:rsidRPr="004A786C" w14:paraId="76BC9D69" w14:textId="77777777" w:rsidTr="00C13ABF">
        <w:trPr>
          <w:trHeight w:val="257"/>
        </w:trPr>
        <w:tc>
          <w:tcPr>
            <w:tcW w:w="11783" w:type="dxa"/>
          </w:tcPr>
          <w:p w14:paraId="1C229BB8" w14:textId="77777777" w:rsidR="006032FB" w:rsidRPr="004A786C" w:rsidRDefault="006032FB" w:rsidP="00775188"/>
        </w:tc>
      </w:tr>
    </w:tbl>
    <w:p w14:paraId="109FB0C4" w14:textId="77777777" w:rsidR="001106C3" w:rsidRDefault="001106C3">
      <w:pPr>
        <w:rPr>
          <w:sz w:val="20"/>
          <w:szCs w:val="20"/>
        </w:rPr>
      </w:pPr>
    </w:p>
    <w:p w14:paraId="4C5EFF13" w14:textId="77777777" w:rsidR="006032FB" w:rsidRDefault="006032FB">
      <w:pPr>
        <w:rPr>
          <w:sz w:val="20"/>
          <w:szCs w:val="20"/>
        </w:rPr>
      </w:pPr>
    </w:p>
    <w:p w14:paraId="736C5BBC" w14:textId="77777777" w:rsidR="006032FB" w:rsidRDefault="006032FB">
      <w:pPr>
        <w:rPr>
          <w:sz w:val="20"/>
          <w:szCs w:val="20"/>
        </w:rPr>
      </w:pPr>
    </w:p>
    <w:p w14:paraId="1F08215A" w14:textId="77777777" w:rsidR="006032FB" w:rsidRDefault="006032FB">
      <w:pPr>
        <w:rPr>
          <w:sz w:val="20"/>
          <w:szCs w:val="20"/>
        </w:rPr>
      </w:pPr>
    </w:p>
    <w:p w14:paraId="15F43C76" w14:textId="77777777" w:rsidR="006032FB" w:rsidRDefault="006032FB">
      <w:pPr>
        <w:rPr>
          <w:sz w:val="20"/>
          <w:szCs w:val="20"/>
        </w:rPr>
      </w:pPr>
    </w:p>
    <w:p w14:paraId="55C02846" w14:textId="52B1456B" w:rsidR="006032FB" w:rsidRPr="00DC0F42" w:rsidRDefault="006032FB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62002AAB" w14:textId="77777777" w:rsidR="006032FB" w:rsidRDefault="006032FB">
      <w:pPr>
        <w:rPr>
          <w:sz w:val="20"/>
          <w:szCs w:val="20"/>
        </w:rPr>
      </w:pPr>
    </w:p>
    <w:p w14:paraId="18A8B6FC" w14:textId="77777777" w:rsidR="006032FB" w:rsidRDefault="006032FB">
      <w:pPr>
        <w:rPr>
          <w:sz w:val="20"/>
          <w:szCs w:val="20"/>
        </w:rPr>
      </w:pPr>
    </w:p>
    <w:p w14:paraId="47D5E21E" w14:textId="77777777" w:rsidR="006032FB" w:rsidRDefault="006032FB">
      <w:pPr>
        <w:rPr>
          <w:sz w:val="20"/>
          <w:szCs w:val="20"/>
        </w:rPr>
      </w:pPr>
    </w:p>
    <w:p w14:paraId="735066D2" w14:textId="75C10B76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6E8582E4" w14:textId="5B9E635E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 xml:space="preserve">Jeff </w:t>
      </w:r>
      <w:proofErr w:type="spellStart"/>
      <w:r>
        <w:rPr>
          <w:sz w:val="20"/>
          <w:szCs w:val="20"/>
        </w:rPr>
        <w:t>LaBossiere</w:t>
      </w:r>
      <w:proofErr w:type="spellEnd"/>
      <w:r>
        <w:rPr>
          <w:sz w:val="20"/>
          <w:szCs w:val="20"/>
        </w:rPr>
        <w:t>, Biological Safety Officer</w:t>
      </w:r>
    </w:p>
    <w:p w14:paraId="12FB67BB" w14:textId="77777777" w:rsidR="006032FB" w:rsidRDefault="006032FB">
      <w:pPr>
        <w:rPr>
          <w:sz w:val="20"/>
          <w:szCs w:val="20"/>
        </w:rPr>
      </w:pPr>
    </w:p>
    <w:p w14:paraId="51C730FF" w14:textId="77777777" w:rsidR="006032FB" w:rsidRDefault="006032FB">
      <w:pPr>
        <w:rPr>
          <w:sz w:val="20"/>
          <w:szCs w:val="20"/>
        </w:rPr>
      </w:pPr>
    </w:p>
    <w:p w14:paraId="61AF8C17" w14:textId="77777777" w:rsidR="006032FB" w:rsidRDefault="006032FB">
      <w:pPr>
        <w:rPr>
          <w:sz w:val="20"/>
          <w:szCs w:val="20"/>
        </w:rPr>
      </w:pPr>
    </w:p>
    <w:p w14:paraId="162EAF0A" w14:textId="77777777" w:rsidR="0091239C" w:rsidRDefault="0091239C">
      <w:pPr>
        <w:rPr>
          <w:sz w:val="20"/>
          <w:szCs w:val="20"/>
        </w:rPr>
      </w:pPr>
    </w:p>
    <w:p w14:paraId="17FDBD1F" w14:textId="77777777" w:rsidR="0091239C" w:rsidRDefault="0091239C">
      <w:pPr>
        <w:rPr>
          <w:sz w:val="20"/>
          <w:szCs w:val="20"/>
        </w:rPr>
      </w:pPr>
    </w:p>
    <w:p w14:paraId="7A080368" w14:textId="77777777" w:rsidR="001106C3" w:rsidRDefault="001106C3">
      <w:pPr>
        <w:rPr>
          <w:sz w:val="20"/>
          <w:szCs w:val="20"/>
        </w:rPr>
      </w:pPr>
    </w:p>
    <w:p w14:paraId="28C1420E" w14:textId="77777777" w:rsidR="001106C3" w:rsidRDefault="001106C3">
      <w:pPr>
        <w:rPr>
          <w:sz w:val="20"/>
          <w:szCs w:val="20"/>
        </w:rPr>
      </w:pPr>
    </w:p>
    <w:p w14:paraId="42990AC5" w14:textId="77777777" w:rsidR="009F46B5" w:rsidRDefault="009F46B5">
      <w:pPr>
        <w:rPr>
          <w:sz w:val="20"/>
          <w:szCs w:val="20"/>
        </w:rPr>
      </w:pPr>
    </w:p>
    <w:tbl>
      <w:tblPr>
        <w:tblStyle w:val="TableGrid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91239C" w14:paraId="1F3256D4" w14:textId="77777777" w:rsidTr="0091239C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5D8DACFD" w14:textId="1D3E5CBE" w:rsidR="00266376" w:rsidRPr="00266376" w:rsidRDefault="0026637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91239C" w14:paraId="3706F8CE" w14:textId="77777777" w:rsidTr="0091239C">
        <w:trPr>
          <w:trHeight w:val="349"/>
        </w:trPr>
        <w:tc>
          <w:tcPr>
            <w:tcW w:w="1345" w:type="dxa"/>
          </w:tcPr>
          <w:p w14:paraId="6939D296" w14:textId="7C789F17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6A50C0F2" w14:textId="4E37895F" w:rsidR="0098772A" w:rsidRPr="00481C1B" w:rsidRDefault="00A92B61">
            <w:hyperlink r:id="rId11" w:history="1">
              <w:r w:rsidR="0067161A">
                <w:rPr>
                  <w:rStyle w:val="Hyperlink"/>
                </w:rPr>
                <w:t>https://www.canada.ca/en/public-health/services/laboratory-biosafety-biosecurity/pathogen-safety-data-sheets-risk-assessment/vibrio-cholerae.html</w:t>
              </w:r>
            </w:hyperlink>
          </w:p>
        </w:tc>
      </w:tr>
      <w:tr w:rsidR="0091239C" w14:paraId="3F3E7192" w14:textId="77777777" w:rsidTr="0091239C">
        <w:trPr>
          <w:trHeight w:val="172"/>
        </w:trPr>
        <w:tc>
          <w:tcPr>
            <w:tcW w:w="1345" w:type="dxa"/>
          </w:tcPr>
          <w:p w14:paraId="2183B81A" w14:textId="3A7C2CCB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553A78F0" w14:textId="38DCD25D" w:rsidR="0098772A" w:rsidRDefault="00A92B61">
            <w:pPr>
              <w:rPr>
                <w:sz w:val="20"/>
                <w:szCs w:val="20"/>
              </w:rPr>
            </w:pPr>
            <w:hyperlink r:id="rId12" w:history="1">
              <w:r w:rsidR="0098772A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91239C" w14:paraId="313377DA" w14:textId="77777777" w:rsidTr="0091239C">
        <w:trPr>
          <w:trHeight w:val="358"/>
        </w:trPr>
        <w:tc>
          <w:tcPr>
            <w:tcW w:w="1345" w:type="dxa"/>
          </w:tcPr>
          <w:p w14:paraId="5997B478" w14:textId="1E58AD98" w:rsidR="00266376" w:rsidRDefault="0033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Society for Microbiology Journals</w:t>
            </w:r>
          </w:p>
        </w:tc>
        <w:tc>
          <w:tcPr>
            <w:tcW w:w="4160" w:type="dxa"/>
          </w:tcPr>
          <w:p w14:paraId="2BF355E8" w14:textId="1C4F1583" w:rsidR="0098772A" w:rsidRPr="00421DD1" w:rsidRDefault="00A92B61" w:rsidP="0067161A">
            <w:hyperlink r:id="rId13" w:history="1">
              <w:r w:rsidR="0033677C">
                <w:rPr>
                  <w:rStyle w:val="Hyperlink"/>
                </w:rPr>
                <w:t>https://mmbr.asm.org/content/mmbr/56/4/622.full.pdf</w:t>
              </w:r>
            </w:hyperlink>
          </w:p>
        </w:tc>
      </w:tr>
      <w:tr w:rsidR="0091239C" w14:paraId="02218B8B" w14:textId="77777777" w:rsidTr="0091239C">
        <w:trPr>
          <w:trHeight w:val="1252"/>
        </w:trPr>
        <w:tc>
          <w:tcPr>
            <w:tcW w:w="1345" w:type="dxa"/>
          </w:tcPr>
          <w:p w14:paraId="1E89C67B" w14:textId="3E7B9D1F" w:rsidR="00266376" w:rsidRDefault="00266376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14:paraId="26901FD2" w14:textId="2AA674C5" w:rsidR="0098772A" w:rsidRDefault="00D34367">
            <w:pPr>
              <w:rPr>
                <w:sz w:val="20"/>
                <w:szCs w:val="20"/>
              </w:rPr>
            </w:pPr>
            <w:r w:rsidRPr="00D34367">
              <w:rPr>
                <w:sz w:val="20"/>
                <w:szCs w:val="20"/>
              </w:rPr>
              <w:t>(Add manufacturer</w:t>
            </w:r>
            <w:r>
              <w:rPr>
                <w:sz w:val="20"/>
                <w:szCs w:val="20"/>
              </w:rPr>
              <w:t>’s</w:t>
            </w:r>
            <w:r w:rsidRPr="00D34367">
              <w:rPr>
                <w:sz w:val="20"/>
                <w:szCs w:val="20"/>
              </w:rPr>
              <w:t xml:space="preserve"> safety data sheet here)</w:t>
            </w:r>
          </w:p>
        </w:tc>
      </w:tr>
    </w:tbl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6A9BC5F1" w14:textId="77777777" w:rsidR="00C13ABF" w:rsidRDefault="00C13ABF">
      <w:pPr>
        <w:rPr>
          <w:sz w:val="20"/>
          <w:szCs w:val="20"/>
        </w:rPr>
      </w:pPr>
    </w:p>
    <w:p w14:paraId="7505A589" w14:textId="77777777" w:rsidR="00C13ABF" w:rsidRDefault="00C13ABF">
      <w:pPr>
        <w:rPr>
          <w:sz w:val="20"/>
          <w:szCs w:val="20"/>
        </w:rPr>
      </w:pPr>
    </w:p>
    <w:p w14:paraId="14795EEF" w14:textId="77777777" w:rsidR="00C13ABF" w:rsidRDefault="00C13ABF">
      <w:pPr>
        <w:rPr>
          <w:sz w:val="20"/>
          <w:szCs w:val="20"/>
        </w:rPr>
      </w:pPr>
    </w:p>
    <w:p w14:paraId="0F3BC461" w14:textId="77777777" w:rsidR="00C13ABF" w:rsidRDefault="00C13ABF">
      <w:pPr>
        <w:rPr>
          <w:sz w:val="20"/>
          <w:szCs w:val="20"/>
        </w:rPr>
      </w:pPr>
    </w:p>
    <w:p w14:paraId="02E970A5" w14:textId="77777777" w:rsidR="00C13ABF" w:rsidRDefault="00C13ABF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039B2E17" w:rsidR="0091239C" w:rsidRDefault="0091239C">
      <w:pPr>
        <w:rPr>
          <w:sz w:val="20"/>
          <w:szCs w:val="20"/>
        </w:rPr>
      </w:pPr>
    </w:p>
    <w:p w14:paraId="7343E4F8" w14:textId="0EB3FC47" w:rsidR="00FB4CD0" w:rsidRDefault="00FB4CD0">
      <w:pPr>
        <w:rPr>
          <w:sz w:val="20"/>
          <w:szCs w:val="20"/>
        </w:rPr>
      </w:pPr>
    </w:p>
    <w:p w14:paraId="29E1DEC6" w14:textId="77777777" w:rsidR="00FB4CD0" w:rsidRDefault="00FB4CD0">
      <w:pPr>
        <w:rPr>
          <w:sz w:val="20"/>
          <w:szCs w:val="20"/>
        </w:rPr>
      </w:pPr>
    </w:p>
    <w:p w14:paraId="632CFCAC" w14:textId="77777777" w:rsidR="006032FB" w:rsidRDefault="006032FB">
      <w:pPr>
        <w:rPr>
          <w:sz w:val="20"/>
          <w:szCs w:val="20"/>
        </w:rPr>
      </w:pPr>
    </w:p>
    <w:p w14:paraId="578E7604" w14:textId="77777777" w:rsidR="006032FB" w:rsidRDefault="006032FB">
      <w:pPr>
        <w:rPr>
          <w:sz w:val="20"/>
          <w:szCs w:val="20"/>
        </w:rPr>
      </w:pPr>
    </w:p>
    <w:p w14:paraId="4FE634A4" w14:textId="2E4D2E91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6A775E4A" w14:textId="2746A115" w:rsidR="0091239C" w:rsidRDefault="006032FB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00692BC8" w14:textId="77777777" w:rsidR="0091239C" w:rsidRDefault="0091239C">
      <w:pPr>
        <w:rPr>
          <w:sz w:val="20"/>
          <w:szCs w:val="20"/>
        </w:rPr>
      </w:pPr>
    </w:p>
    <w:p w14:paraId="5DC14489" w14:textId="77777777" w:rsidR="0091239C" w:rsidRDefault="0091239C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9F46B5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EF302" w14:textId="77777777" w:rsidR="00A92B61" w:rsidRDefault="00A92B61" w:rsidP="00F15A99">
      <w:r>
        <w:separator/>
      </w:r>
    </w:p>
  </w:endnote>
  <w:endnote w:type="continuationSeparator" w:id="0">
    <w:p w14:paraId="301A1194" w14:textId="77777777" w:rsidR="00A92B61" w:rsidRDefault="00A92B61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7F35" w14:textId="4FC5C6BA" w:rsidR="001106C3" w:rsidRDefault="001106C3">
    <w:pPr>
      <w:pStyle w:val="Footer"/>
    </w:pPr>
    <w:r>
      <w:t xml:space="preserve">Principal Investigator: _____________________________________     IBC </w:t>
    </w:r>
    <w:r w:rsidR="00447103">
      <w:t>Registration</w:t>
    </w:r>
    <w:r>
      <w:t xml:space="preserve"> #: 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EDB9" w14:textId="77777777" w:rsidR="00A92B61" w:rsidRDefault="00A92B61" w:rsidP="00F15A99">
      <w:r>
        <w:separator/>
      </w:r>
    </w:p>
  </w:footnote>
  <w:footnote w:type="continuationSeparator" w:id="0">
    <w:p w14:paraId="53BD48B3" w14:textId="77777777" w:rsidR="00A92B61" w:rsidRDefault="00A92B61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92BE053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C13ABF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C13ABF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3D6D5733" w:rsidR="0088621B" w:rsidRDefault="0067161A" w:rsidP="00C13ABF">
    <w:pPr>
      <w:jc w:val="center"/>
    </w:pPr>
    <w:r>
      <w:t>Cholera Toxin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D525F"/>
    <w:rsid w:val="000D53FA"/>
    <w:rsid w:val="00105D81"/>
    <w:rsid w:val="001106C3"/>
    <w:rsid w:val="001137DE"/>
    <w:rsid w:val="00114749"/>
    <w:rsid w:val="0011612B"/>
    <w:rsid w:val="00145467"/>
    <w:rsid w:val="001629D9"/>
    <w:rsid w:val="00182E75"/>
    <w:rsid w:val="001C3B8D"/>
    <w:rsid w:val="001D427C"/>
    <w:rsid w:val="00266376"/>
    <w:rsid w:val="002920ED"/>
    <w:rsid w:val="003045DC"/>
    <w:rsid w:val="00304CD8"/>
    <w:rsid w:val="003237DD"/>
    <w:rsid w:val="0033677C"/>
    <w:rsid w:val="0036122E"/>
    <w:rsid w:val="00362520"/>
    <w:rsid w:val="00371EBB"/>
    <w:rsid w:val="003A2BF4"/>
    <w:rsid w:val="00421DD1"/>
    <w:rsid w:val="00447103"/>
    <w:rsid w:val="00481C1B"/>
    <w:rsid w:val="00487C23"/>
    <w:rsid w:val="00494CB7"/>
    <w:rsid w:val="004A5500"/>
    <w:rsid w:val="004A786C"/>
    <w:rsid w:val="004D0C5D"/>
    <w:rsid w:val="004E49AA"/>
    <w:rsid w:val="004F4CD9"/>
    <w:rsid w:val="0050120A"/>
    <w:rsid w:val="00507037"/>
    <w:rsid w:val="00516FE6"/>
    <w:rsid w:val="005733C9"/>
    <w:rsid w:val="00594D7A"/>
    <w:rsid w:val="005A175C"/>
    <w:rsid w:val="005A7343"/>
    <w:rsid w:val="005D69B7"/>
    <w:rsid w:val="006032FB"/>
    <w:rsid w:val="00612258"/>
    <w:rsid w:val="0067161A"/>
    <w:rsid w:val="006779A8"/>
    <w:rsid w:val="00680AC1"/>
    <w:rsid w:val="007475C2"/>
    <w:rsid w:val="00757E06"/>
    <w:rsid w:val="007744F5"/>
    <w:rsid w:val="00775188"/>
    <w:rsid w:val="007E03EE"/>
    <w:rsid w:val="00822C8B"/>
    <w:rsid w:val="00826ADC"/>
    <w:rsid w:val="008430F7"/>
    <w:rsid w:val="008603B3"/>
    <w:rsid w:val="008643D3"/>
    <w:rsid w:val="0088621B"/>
    <w:rsid w:val="008A0AA4"/>
    <w:rsid w:val="0091239C"/>
    <w:rsid w:val="00914B88"/>
    <w:rsid w:val="00923D90"/>
    <w:rsid w:val="00944754"/>
    <w:rsid w:val="00972C62"/>
    <w:rsid w:val="00983E97"/>
    <w:rsid w:val="0098772A"/>
    <w:rsid w:val="009C2576"/>
    <w:rsid w:val="009E6568"/>
    <w:rsid w:val="009F46B5"/>
    <w:rsid w:val="00A73038"/>
    <w:rsid w:val="00A92B61"/>
    <w:rsid w:val="00AE6570"/>
    <w:rsid w:val="00B041F0"/>
    <w:rsid w:val="00B1093C"/>
    <w:rsid w:val="00B11E2C"/>
    <w:rsid w:val="00B50B7F"/>
    <w:rsid w:val="00BA0065"/>
    <w:rsid w:val="00BF26A0"/>
    <w:rsid w:val="00C13ABF"/>
    <w:rsid w:val="00C678AA"/>
    <w:rsid w:val="00C7207A"/>
    <w:rsid w:val="00CD543C"/>
    <w:rsid w:val="00CE3CBB"/>
    <w:rsid w:val="00CF7B97"/>
    <w:rsid w:val="00D04FF9"/>
    <w:rsid w:val="00D34367"/>
    <w:rsid w:val="00D67EC6"/>
    <w:rsid w:val="00DC0F42"/>
    <w:rsid w:val="00DF74DC"/>
    <w:rsid w:val="00E2582F"/>
    <w:rsid w:val="00E37F21"/>
    <w:rsid w:val="00E545CA"/>
    <w:rsid w:val="00E62D04"/>
    <w:rsid w:val="00F04586"/>
    <w:rsid w:val="00F15A99"/>
    <w:rsid w:val="00F441A2"/>
    <w:rsid w:val="00F608AC"/>
    <w:rsid w:val="00FA702B"/>
    <w:rsid w:val="00FB4CD0"/>
    <w:rsid w:val="00FB64F1"/>
    <w:rsid w:val="00FC4DA2"/>
    <w:rsid w:val="00FD4D3D"/>
    <w:rsid w:val="00FD52B8"/>
    <w:rsid w:val="00FD5779"/>
    <w:rsid w:val="00FD65A0"/>
    <w:rsid w:val="00FE2656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75C"/>
    <w:pPr>
      <w:ind w:left="720"/>
      <w:contextualSpacing/>
    </w:pPr>
  </w:style>
  <w:style w:type="character" w:customStyle="1" w:styleId="f-medium">
    <w:name w:val="f-medium"/>
    <w:basedOn w:val="DefaultParagraphFont"/>
    <w:rsid w:val="00983E97"/>
  </w:style>
  <w:style w:type="character" w:customStyle="1" w:styleId="breakword">
    <w:name w:val="breakword"/>
    <w:basedOn w:val="DefaultParagraphFont"/>
    <w:rsid w:val="00983E97"/>
  </w:style>
  <w:style w:type="character" w:styleId="FollowedHyperlink">
    <w:name w:val="FollowedHyperlink"/>
    <w:basedOn w:val="DefaultParagraphFont"/>
    <w:uiPriority w:val="99"/>
    <w:semiHidden/>
    <w:unhideWhenUsed/>
    <w:rsid w:val="00421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mbr.asm.org/content/mmbr/56/4/622.full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dc.gov/biosafety/publications/bmbl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laboratory-biosafety-biosecurity/pathogen-safety-data-sheets-risk-assessment/vibrio-cholera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38</cp:revision>
  <cp:lastPrinted>2017-06-13T17:58:00Z</cp:lastPrinted>
  <dcterms:created xsi:type="dcterms:W3CDTF">2017-06-13T12:51:00Z</dcterms:created>
  <dcterms:modified xsi:type="dcterms:W3CDTF">2019-10-09T19:21:00Z</dcterms:modified>
</cp:coreProperties>
</file>