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4BDA" w14:textId="77777777" w:rsidR="006612A6" w:rsidRDefault="001A4151">
      <w:pPr>
        <w:pStyle w:val="Heading1"/>
        <w:ind w:left="3210"/>
      </w:pPr>
      <w:r>
        <w:rPr>
          <w:color w:val="3A471D"/>
        </w:rPr>
        <w:t>University of Vermont</w:t>
      </w:r>
    </w:p>
    <w:p w14:paraId="1CC3A145" w14:textId="77777777" w:rsidR="006612A6" w:rsidRDefault="001A4151">
      <w:pPr>
        <w:spacing w:before="205"/>
        <w:ind w:left="1570"/>
        <w:rPr>
          <w:b/>
          <w:sz w:val="36"/>
        </w:rPr>
      </w:pPr>
      <w:r>
        <w:rPr>
          <w:b/>
          <w:color w:val="3A471D"/>
          <w:sz w:val="36"/>
        </w:rPr>
        <w:t>Infectious Materials Risk Designation Form</w:t>
      </w:r>
    </w:p>
    <w:p w14:paraId="180E9AF4" w14:textId="77777777" w:rsidR="006612A6" w:rsidRDefault="006612A6">
      <w:pPr>
        <w:pStyle w:val="BodyText"/>
        <w:spacing w:before="8"/>
        <w:rPr>
          <w:b/>
          <w:sz w:val="50"/>
        </w:rPr>
      </w:pPr>
    </w:p>
    <w:p w14:paraId="035B2FAD" w14:textId="76B11A37" w:rsidR="003A355A" w:rsidRDefault="001A4151" w:rsidP="003A355A">
      <w:pPr>
        <w:pStyle w:val="BodyText"/>
        <w:spacing w:before="1" w:line="247" w:lineRule="auto"/>
        <w:ind w:left="116" w:right="403"/>
      </w:pPr>
      <w:r>
        <w:t xml:space="preserve">This form must be completed for every at-risk employee and should be    kept in the department's personnel files. At-risk designation for new employees must be made within 10 days of the employee's arrival at work and </w:t>
      </w:r>
      <w:r w:rsidR="00FD5B88">
        <w:t>the employee must</w:t>
      </w:r>
      <w:r>
        <w:t xml:space="preserve"> be offered the Hepatitis B vaccine within this time period.  If the employee consents to receive the vaccine, </w:t>
      </w:r>
      <w:r w:rsidR="00FD5B88">
        <w:t>they</w:t>
      </w:r>
      <w:r>
        <w:t xml:space="preserve"> should make an appointment to receive the vaccine series</w:t>
      </w:r>
      <w:r w:rsidR="003A355A">
        <w:rPr>
          <w:spacing w:val="33"/>
        </w:rPr>
        <w:t xml:space="preserve"> </w:t>
      </w:r>
      <w:r w:rsidR="003A355A">
        <w:t>at</w:t>
      </w:r>
      <w:r w:rsidR="00FD5B88">
        <w:t>:</w:t>
      </w:r>
    </w:p>
    <w:p w14:paraId="5C40B9B1" w14:textId="77777777" w:rsidR="003A355A" w:rsidRDefault="003A355A" w:rsidP="003A355A">
      <w:pPr>
        <w:pStyle w:val="BodyText"/>
        <w:spacing w:before="1" w:line="247" w:lineRule="auto"/>
        <w:ind w:left="116" w:right="403"/>
      </w:pPr>
    </w:p>
    <w:p w14:paraId="3A209DD5" w14:textId="12B7D7CF" w:rsidR="003A355A" w:rsidRDefault="003A355A" w:rsidP="003A355A">
      <w:pPr>
        <w:pStyle w:val="BodyText"/>
        <w:spacing w:before="1" w:line="247" w:lineRule="auto"/>
        <w:ind w:left="116" w:right="403"/>
      </w:pPr>
      <w:r>
        <w:t>Champlain Medical Urgent Care</w:t>
      </w:r>
      <w:r>
        <w:tab/>
      </w:r>
      <w:r>
        <w:tab/>
      </w:r>
      <w:r>
        <w:tab/>
      </w:r>
    </w:p>
    <w:p w14:paraId="1053C8C0" w14:textId="31DECA29" w:rsidR="003A355A" w:rsidRDefault="003A355A" w:rsidP="003A355A">
      <w:pPr>
        <w:pStyle w:val="BodyText"/>
        <w:spacing w:before="1" w:line="247" w:lineRule="auto"/>
        <w:ind w:left="116" w:right="403"/>
      </w:pPr>
      <w:r>
        <w:t>150 Kennedy Drive</w:t>
      </w:r>
      <w:r>
        <w:tab/>
      </w:r>
      <w:r>
        <w:tab/>
      </w:r>
      <w:r>
        <w:tab/>
      </w:r>
      <w:r>
        <w:tab/>
      </w:r>
      <w:r>
        <w:tab/>
      </w:r>
    </w:p>
    <w:p w14:paraId="79493574" w14:textId="4AFE55F2" w:rsidR="003A355A" w:rsidRDefault="003A355A" w:rsidP="003A355A">
      <w:pPr>
        <w:pStyle w:val="BodyText"/>
        <w:spacing w:before="1" w:line="247" w:lineRule="auto"/>
        <w:ind w:left="116" w:right="403"/>
      </w:pPr>
      <w:r>
        <w:t>South Burlington, VT 05403</w:t>
      </w:r>
      <w:r>
        <w:tab/>
      </w:r>
      <w:r>
        <w:tab/>
      </w:r>
      <w:r>
        <w:tab/>
      </w:r>
    </w:p>
    <w:p w14:paraId="08949CD4" w14:textId="1A33F098" w:rsidR="003A355A" w:rsidRDefault="003A355A" w:rsidP="003A355A">
      <w:pPr>
        <w:pStyle w:val="BodyText"/>
        <w:spacing w:before="1" w:line="247" w:lineRule="auto"/>
        <w:ind w:left="116" w:right="403"/>
      </w:pPr>
      <w:r>
        <w:t>802-448-9370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5123E4" w14:textId="77777777" w:rsidR="003A355A" w:rsidRDefault="003A355A" w:rsidP="003A355A">
      <w:pPr>
        <w:pStyle w:val="BodyText"/>
        <w:spacing w:before="1" w:line="247" w:lineRule="auto"/>
        <w:ind w:left="116" w:right="403"/>
      </w:pPr>
    </w:p>
    <w:p w14:paraId="6BDAC87A" w14:textId="77777777" w:rsidR="006612A6" w:rsidRDefault="001A4151">
      <w:pPr>
        <w:pStyle w:val="BodyText"/>
        <w:spacing w:line="249" w:lineRule="auto"/>
        <w:ind w:left="116"/>
      </w:pPr>
      <w:r>
        <w:t xml:space="preserve">At-risk employees need to bring a completed copy of this form to their first vaccination appointment and must take the online </w:t>
      </w:r>
      <w:r w:rsidR="002B69E7">
        <w:t xml:space="preserve">CITI </w:t>
      </w:r>
      <w:r>
        <w:t>training “</w:t>
      </w:r>
      <w:r w:rsidR="002B69E7">
        <w:t>OSHA Bloodborne Pathogen</w:t>
      </w:r>
      <w:r>
        <w:t>s” before starting their work.</w:t>
      </w:r>
    </w:p>
    <w:p w14:paraId="4349EAAE" w14:textId="77777777" w:rsidR="006612A6" w:rsidRDefault="006612A6">
      <w:pPr>
        <w:pStyle w:val="BodyText"/>
        <w:spacing w:before="5"/>
      </w:pPr>
    </w:p>
    <w:p w14:paraId="05BCE085" w14:textId="77777777" w:rsidR="006612A6" w:rsidRDefault="001A4151">
      <w:pPr>
        <w:pStyle w:val="BodyText"/>
        <w:ind w:left="116"/>
      </w:pPr>
      <w:r>
        <w:t>Date:</w:t>
      </w:r>
    </w:p>
    <w:p w14:paraId="39FDF07C" w14:textId="77777777" w:rsidR="006612A6" w:rsidRDefault="001A4151">
      <w:pPr>
        <w:pStyle w:val="BodyText"/>
        <w:spacing w:before="195"/>
        <w:ind w:left="116"/>
      </w:pPr>
      <w:r>
        <w:t>Employee Name:</w:t>
      </w:r>
      <w:r w:rsidR="0081139E">
        <w:t xml:space="preserve"> </w:t>
      </w:r>
    </w:p>
    <w:p w14:paraId="5DFF984A" w14:textId="77777777" w:rsidR="006612A6" w:rsidRDefault="001A4151">
      <w:pPr>
        <w:pStyle w:val="BodyText"/>
        <w:spacing w:before="196"/>
        <w:ind w:left="116"/>
      </w:pPr>
      <w:r>
        <w:t>Employee Position Title:</w:t>
      </w:r>
    </w:p>
    <w:p w14:paraId="31824785" w14:textId="77777777" w:rsidR="006612A6" w:rsidRDefault="001A4151">
      <w:pPr>
        <w:pStyle w:val="BodyText"/>
        <w:spacing w:before="195"/>
        <w:ind w:left="116"/>
      </w:pPr>
      <w:r>
        <w:t>Department:</w:t>
      </w:r>
    </w:p>
    <w:p w14:paraId="6DFE7DB9" w14:textId="77777777" w:rsidR="006612A6" w:rsidRDefault="001A4151">
      <w:pPr>
        <w:pStyle w:val="BodyText"/>
        <w:spacing w:before="196"/>
        <w:ind w:left="116"/>
      </w:pPr>
      <w:r>
        <w:t>Supervisor:</w:t>
      </w:r>
    </w:p>
    <w:p w14:paraId="572A1C30" w14:textId="77777777" w:rsidR="006612A6" w:rsidRDefault="006612A6">
      <w:pPr>
        <w:pStyle w:val="BodyText"/>
        <w:spacing w:before="1"/>
        <w:rPr>
          <w:sz w:val="49"/>
        </w:rPr>
      </w:pPr>
    </w:p>
    <w:p w14:paraId="0588528E" w14:textId="77777777" w:rsidR="006612A6" w:rsidRDefault="001A4151">
      <w:pPr>
        <w:pStyle w:val="BodyText"/>
        <w:spacing w:before="1" w:line="247" w:lineRule="auto"/>
        <w:ind w:left="116" w:right="171"/>
      </w:pPr>
      <w:r>
        <w:t>The above</w:t>
      </w:r>
      <w:r w:rsidR="003A355A">
        <w:t xml:space="preserve"> named employee is at-risk for exposure to </w:t>
      </w:r>
      <w:r>
        <w:t>bloodborne pathogens or other potentially infectious materials, as defined below, while performing his/her duties in my</w:t>
      </w:r>
      <w:r>
        <w:rPr>
          <w:spacing w:val="28"/>
        </w:rPr>
        <w:t xml:space="preserve"> </w:t>
      </w:r>
      <w:r>
        <w:t>department.</w:t>
      </w:r>
    </w:p>
    <w:p w14:paraId="59D3C164" w14:textId="77777777" w:rsidR="006612A6" w:rsidRDefault="006612A6">
      <w:pPr>
        <w:pStyle w:val="BodyText"/>
        <w:rPr>
          <w:sz w:val="20"/>
        </w:rPr>
      </w:pPr>
    </w:p>
    <w:p w14:paraId="2BAEEED3" w14:textId="77777777" w:rsidR="006612A6" w:rsidRDefault="006612A6">
      <w:pPr>
        <w:pStyle w:val="BodyText"/>
        <w:rPr>
          <w:sz w:val="20"/>
        </w:rPr>
      </w:pPr>
    </w:p>
    <w:p w14:paraId="710CD1CB" w14:textId="77777777" w:rsidR="006612A6" w:rsidRDefault="001A4151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7C0F756" wp14:editId="60DD68DE">
                <wp:simplePos x="0" y="0"/>
                <wp:positionH relativeFrom="page">
                  <wp:posOffset>2768600</wp:posOffset>
                </wp:positionH>
                <wp:positionV relativeFrom="paragraph">
                  <wp:posOffset>164465</wp:posOffset>
                </wp:positionV>
                <wp:extent cx="3861435" cy="0"/>
                <wp:effectExtent l="6350" t="11430" r="8890" b="762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1435" cy="0"/>
                        </a:xfrm>
                        <a:prstGeom prst="line">
                          <a:avLst/>
                        </a:prstGeom>
                        <a:noFill/>
                        <a:ln w="804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AABE0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8pt,12.95pt" to="522.0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zz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" strokeweight=".22353mm">
                <w10:wrap type="topAndBottom" anchorx="page"/>
              </v:line>
            </w:pict>
          </mc:Fallback>
        </mc:AlternateContent>
      </w:r>
    </w:p>
    <w:p w14:paraId="13D93AFB" w14:textId="77777777" w:rsidR="006612A6" w:rsidRDefault="006612A6">
      <w:pPr>
        <w:pStyle w:val="BodyText"/>
        <w:spacing w:before="5"/>
        <w:rPr>
          <w:sz w:val="22"/>
        </w:rPr>
      </w:pPr>
    </w:p>
    <w:p w14:paraId="0FB867C2" w14:textId="77777777" w:rsidR="006612A6" w:rsidRDefault="001A4151">
      <w:pPr>
        <w:pStyle w:val="BodyText"/>
        <w:spacing w:before="93"/>
        <w:ind w:left="2996"/>
      </w:pPr>
      <w:r>
        <w:t>Signature - Principal Investigator or</w:t>
      </w:r>
      <w:r>
        <w:rPr>
          <w:spacing w:val="65"/>
        </w:rPr>
        <w:t xml:space="preserve"> </w:t>
      </w:r>
      <w:r>
        <w:t>Supervisor</w:t>
      </w:r>
    </w:p>
    <w:p w14:paraId="30713646" w14:textId="77777777" w:rsidR="006612A6" w:rsidRDefault="006612A6">
      <w:pPr>
        <w:sectPr w:rsidR="006612A6">
          <w:type w:val="continuous"/>
          <w:pgSz w:w="12240" w:h="15840"/>
          <w:pgMar w:top="1240" w:right="1200" w:bottom="280" w:left="1180" w:header="720" w:footer="720" w:gutter="0"/>
          <w:cols w:space="720"/>
        </w:sectPr>
      </w:pPr>
    </w:p>
    <w:p w14:paraId="023BE922" w14:textId="77777777" w:rsidR="006612A6" w:rsidRDefault="001A4151">
      <w:pPr>
        <w:pStyle w:val="Heading1"/>
      </w:pPr>
      <w:r>
        <w:rPr>
          <w:color w:val="3A471D"/>
        </w:rPr>
        <w:lastRenderedPageBreak/>
        <w:t>Definitions</w:t>
      </w:r>
    </w:p>
    <w:p w14:paraId="4F6B7EB0" w14:textId="77777777" w:rsidR="006612A6" w:rsidRDefault="001A4151">
      <w:pPr>
        <w:pStyle w:val="BodyText"/>
        <w:spacing w:before="329" w:line="247" w:lineRule="auto"/>
        <w:ind w:left="116" w:right="403"/>
      </w:pPr>
      <w:r>
        <w:rPr>
          <w:b/>
          <w:i/>
        </w:rPr>
        <w:t xml:space="preserve">Bloodborne Pathogens </w:t>
      </w:r>
      <w:r>
        <w:t>means pathogenic microorganisms that may be present in human blood and can cause disease in humans. These pathogens include, but are not limited to, hepatitis B virus (HBV), hepatitis C virus (HCV), and human immunodeficiency virus (HIV).</w:t>
      </w:r>
    </w:p>
    <w:p w14:paraId="69E80EC3" w14:textId="77777777" w:rsidR="006612A6" w:rsidRDefault="001A4151">
      <w:pPr>
        <w:pStyle w:val="BodyText"/>
        <w:spacing w:before="235" w:line="247" w:lineRule="auto"/>
        <w:ind w:left="116" w:right="403"/>
      </w:pPr>
      <w:r>
        <w:rPr>
          <w:b/>
          <w:i/>
        </w:rPr>
        <w:t xml:space="preserve">Contaminated </w:t>
      </w:r>
      <w:r>
        <w:t>means the presence, or the reasonably anticipated presence, of blood or other potentially infectious materials on any item or surface, including</w:t>
      </w:r>
      <w:r>
        <w:rPr>
          <w:spacing w:val="4"/>
        </w:rPr>
        <w:t xml:space="preserve"> </w:t>
      </w:r>
      <w:r>
        <w:t>laundry.</w:t>
      </w:r>
    </w:p>
    <w:p w14:paraId="068B441B" w14:textId="77777777" w:rsidR="006612A6" w:rsidRDefault="006612A6">
      <w:pPr>
        <w:pStyle w:val="BodyText"/>
        <w:spacing w:before="2"/>
        <w:rPr>
          <w:sz w:val="28"/>
        </w:rPr>
      </w:pPr>
    </w:p>
    <w:p w14:paraId="27C07D8D" w14:textId="77777777" w:rsidR="006612A6" w:rsidRDefault="001A4151">
      <w:pPr>
        <w:ind w:left="116"/>
        <w:rPr>
          <w:sz w:val="31"/>
        </w:rPr>
      </w:pPr>
      <w:r>
        <w:rPr>
          <w:b/>
          <w:i/>
          <w:sz w:val="31"/>
        </w:rPr>
        <w:t xml:space="preserve">Other Potentially Infectious Materials (OPIM) </w:t>
      </w:r>
      <w:r>
        <w:rPr>
          <w:sz w:val="31"/>
        </w:rPr>
        <w:t>means:</w:t>
      </w:r>
    </w:p>
    <w:p w14:paraId="1E9D577A" w14:textId="77777777" w:rsidR="006612A6" w:rsidRDefault="006612A6">
      <w:pPr>
        <w:pStyle w:val="BodyText"/>
        <w:spacing w:before="8"/>
        <w:rPr>
          <w:sz w:val="28"/>
        </w:rPr>
      </w:pPr>
    </w:p>
    <w:p w14:paraId="1531A137" w14:textId="3C040C66" w:rsidR="006612A6" w:rsidRDefault="001A415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line="247" w:lineRule="auto"/>
        <w:rPr>
          <w:sz w:val="31"/>
        </w:rPr>
      </w:pPr>
      <w:r>
        <w:rPr>
          <w:sz w:val="31"/>
        </w:rPr>
        <w:t>The following human body fluids: semen, vaginal secretions, cerebrospinal fluid, synovial fluid, pleural fluid, pericardial fluid, peritoneal fluid, amniotic fluid, saliva in dental procedures, body fluid visibly contaminated with blood, and</w:t>
      </w:r>
      <w:r w:rsidR="00FD5B88">
        <w:rPr>
          <w:sz w:val="31"/>
        </w:rPr>
        <w:t xml:space="preserve"> </w:t>
      </w:r>
      <w:r>
        <w:rPr>
          <w:sz w:val="31"/>
        </w:rPr>
        <w:t>all</w:t>
      </w:r>
      <w:r w:rsidR="00FD5B88">
        <w:rPr>
          <w:sz w:val="31"/>
        </w:rPr>
        <w:t xml:space="preserve"> </w:t>
      </w:r>
      <w:r>
        <w:rPr>
          <w:sz w:val="31"/>
        </w:rPr>
        <w:t>body fluids in situations in which it is difficult or impossible to differentiate between body</w:t>
      </w:r>
      <w:r>
        <w:rPr>
          <w:spacing w:val="7"/>
          <w:sz w:val="31"/>
        </w:rPr>
        <w:t xml:space="preserve"> </w:t>
      </w:r>
      <w:r>
        <w:rPr>
          <w:sz w:val="31"/>
        </w:rPr>
        <w:t>fluids;</w:t>
      </w:r>
    </w:p>
    <w:p w14:paraId="2C026FCE" w14:textId="77777777" w:rsidR="006612A6" w:rsidRDefault="001A415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236" w:line="244" w:lineRule="auto"/>
        <w:ind w:right="588"/>
        <w:rPr>
          <w:sz w:val="31"/>
        </w:rPr>
      </w:pPr>
      <w:r>
        <w:rPr>
          <w:sz w:val="31"/>
        </w:rPr>
        <w:t>Any unfixed tissue or organ (other than intact skin) from a human (living or dead);</w:t>
      </w:r>
      <w:r>
        <w:rPr>
          <w:spacing w:val="12"/>
          <w:sz w:val="31"/>
        </w:rPr>
        <w:t xml:space="preserve"> </w:t>
      </w:r>
      <w:r>
        <w:rPr>
          <w:sz w:val="31"/>
        </w:rPr>
        <w:t>and</w:t>
      </w:r>
    </w:p>
    <w:p w14:paraId="74880DD8" w14:textId="77777777" w:rsidR="006612A6" w:rsidRDefault="001A4151">
      <w:pPr>
        <w:pStyle w:val="ListParagraph"/>
        <w:numPr>
          <w:ilvl w:val="0"/>
          <w:numId w:val="1"/>
        </w:numPr>
        <w:tabs>
          <w:tab w:val="left" w:pos="835"/>
          <w:tab w:val="left" w:pos="836"/>
        </w:tabs>
        <w:spacing w:before="237" w:line="247" w:lineRule="auto"/>
        <w:ind w:right="243"/>
        <w:rPr>
          <w:sz w:val="31"/>
        </w:rPr>
      </w:pPr>
      <w:r>
        <w:rPr>
          <w:sz w:val="31"/>
        </w:rPr>
        <w:t>Any cell or tissue cultures, organ cultures, culture medium and other solutions contaminated with pathogens; and blood, tissues, and  organs from experimental animals infected with human pathogens including, but not limited, to HIV, HBV, or</w:t>
      </w:r>
      <w:r>
        <w:rPr>
          <w:spacing w:val="57"/>
          <w:sz w:val="31"/>
        </w:rPr>
        <w:t xml:space="preserve"> </w:t>
      </w:r>
      <w:r>
        <w:rPr>
          <w:sz w:val="31"/>
        </w:rPr>
        <w:t>HCV.</w:t>
      </w:r>
    </w:p>
    <w:p w14:paraId="228819C5" w14:textId="77777777" w:rsidR="006612A6" w:rsidRDefault="006612A6">
      <w:pPr>
        <w:pStyle w:val="BodyText"/>
        <w:rPr>
          <w:sz w:val="34"/>
        </w:rPr>
      </w:pPr>
    </w:p>
    <w:p w14:paraId="5A516F9C" w14:textId="77777777" w:rsidR="006612A6" w:rsidRDefault="006612A6">
      <w:pPr>
        <w:pStyle w:val="BodyText"/>
        <w:spacing w:before="4"/>
        <w:rPr>
          <w:sz w:val="30"/>
        </w:rPr>
      </w:pPr>
    </w:p>
    <w:p w14:paraId="013393BC" w14:textId="77777777" w:rsidR="006612A6" w:rsidRDefault="001A4151">
      <w:pPr>
        <w:pStyle w:val="BodyText"/>
        <w:ind w:left="116"/>
      </w:pPr>
      <w:r>
        <w:t>Maintain a copy of this form with the employee's personnel records.</w:t>
      </w:r>
    </w:p>
    <w:p w14:paraId="32B74187" w14:textId="77777777" w:rsidR="006612A6" w:rsidRDefault="006612A6">
      <w:pPr>
        <w:pStyle w:val="BodyText"/>
        <w:spacing w:before="10"/>
        <w:rPr>
          <w:sz w:val="32"/>
        </w:rPr>
      </w:pPr>
    </w:p>
    <w:p w14:paraId="3B59B4A8" w14:textId="77777777" w:rsidR="006612A6" w:rsidRDefault="001A4151">
      <w:pPr>
        <w:pStyle w:val="BodyText"/>
        <w:spacing w:line="249" w:lineRule="auto"/>
        <w:ind w:left="116" w:right="403"/>
      </w:pPr>
      <w:r>
        <w:t xml:space="preserve">If you have any question, please contact </w:t>
      </w:r>
      <w:r w:rsidR="001A5B68">
        <w:t xml:space="preserve">Environmental Health and Safety at </w:t>
      </w:r>
      <w:hyperlink r:id="rId5" w:history="1">
        <w:r w:rsidR="001A5B68" w:rsidRPr="00895147">
          <w:rPr>
            <w:rStyle w:val="Hyperlink"/>
          </w:rPr>
          <w:t>safety@uvm.edu</w:t>
        </w:r>
      </w:hyperlink>
      <w:r w:rsidR="007B5D7C">
        <w:t xml:space="preserve"> or Occupational Health</w:t>
      </w:r>
      <w:r w:rsidR="001A5B68">
        <w:t xml:space="preserve"> at </w:t>
      </w:r>
      <w:hyperlink r:id="rId6" w:history="1">
        <w:r w:rsidR="001A5B68" w:rsidRPr="00895147">
          <w:rPr>
            <w:rStyle w:val="Hyperlink"/>
          </w:rPr>
          <w:t>ohealth@uvm.edu</w:t>
        </w:r>
      </w:hyperlink>
      <w:r w:rsidR="001A5B68">
        <w:t xml:space="preserve"> </w:t>
      </w:r>
    </w:p>
    <w:p w14:paraId="7B74637D" w14:textId="77777777" w:rsidR="006612A6" w:rsidRDefault="006612A6">
      <w:pPr>
        <w:pStyle w:val="BodyText"/>
        <w:rPr>
          <w:sz w:val="20"/>
        </w:rPr>
      </w:pPr>
    </w:p>
    <w:p w14:paraId="3B199B76" w14:textId="77777777" w:rsidR="006612A6" w:rsidRDefault="006612A6">
      <w:pPr>
        <w:pStyle w:val="BodyText"/>
        <w:rPr>
          <w:sz w:val="20"/>
        </w:rPr>
      </w:pPr>
    </w:p>
    <w:p w14:paraId="606DCAD1" w14:textId="77777777" w:rsidR="006612A6" w:rsidRDefault="006612A6">
      <w:pPr>
        <w:pStyle w:val="BodyText"/>
        <w:rPr>
          <w:sz w:val="20"/>
        </w:rPr>
      </w:pPr>
    </w:p>
    <w:p w14:paraId="6F0AA2AB" w14:textId="77777777" w:rsidR="006612A6" w:rsidRDefault="006612A6">
      <w:pPr>
        <w:pStyle w:val="BodyText"/>
        <w:spacing w:before="8"/>
        <w:rPr>
          <w:sz w:val="17"/>
        </w:rPr>
      </w:pPr>
    </w:p>
    <w:p w14:paraId="060F65CC" w14:textId="770B295B" w:rsidR="006612A6" w:rsidRDefault="001A4151">
      <w:pPr>
        <w:pStyle w:val="Heading1"/>
        <w:spacing w:before="85"/>
      </w:pPr>
      <w:r>
        <w:rPr>
          <w:color w:val="F79646"/>
        </w:rPr>
        <w:t xml:space="preserve">Last Revised: </w:t>
      </w:r>
      <w:r w:rsidR="00FD5B88">
        <w:rPr>
          <w:color w:val="F79646"/>
        </w:rPr>
        <w:t>September 2022</w:t>
      </w:r>
    </w:p>
    <w:sectPr w:rsidR="006612A6">
      <w:pgSz w:w="12240" w:h="15840"/>
      <w:pgMar w:top="1240" w:right="12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92396"/>
    <w:multiLevelType w:val="hybridMultilevel"/>
    <w:tmpl w:val="DD1E7810"/>
    <w:lvl w:ilvl="0" w:tplc="95B49A54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</w:rPr>
    </w:lvl>
    <w:lvl w:ilvl="1" w:tplc="F1E4708C">
      <w:numFmt w:val="bullet"/>
      <w:lvlText w:val="•"/>
      <w:lvlJc w:val="left"/>
      <w:pPr>
        <w:ind w:left="1742" w:hanging="720"/>
      </w:pPr>
      <w:rPr>
        <w:rFonts w:hint="default"/>
      </w:rPr>
    </w:lvl>
    <w:lvl w:ilvl="2" w:tplc="17FC94A6">
      <w:numFmt w:val="bullet"/>
      <w:lvlText w:val="•"/>
      <w:lvlJc w:val="left"/>
      <w:pPr>
        <w:ind w:left="2644" w:hanging="720"/>
      </w:pPr>
      <w:rPr>
        <w:rFonts w:hint="default"/>
      </w:rPr>
    </w:lvl>
    <w:lvl w:ilvl="3" w:tplc="4C90A506">
      <w:numFmt w:val="bullet"/>
      <w:lvlText w:val="•"/>
      <w:lvlJc w:val="left"/>
      <w:pPr>
        <w:ind w:left="3546" w:hanging="720"/>
      </w:pPr>
      <w:rPr>
        <w:rFonts w:hint="default"/>
      </w:rPr>
    </w:lvl>
    <w:lvl w:ilvl="4" w:tplc="6A2A64EE">
      <w:numFmt w:val="bullet"/>
      <w:lvlText w:val="•"/>
      <w:lvlJc w:val="left"/>
      <w:pPr>
        <w:ind w:left="4448" w:hanging="720"/>
      </w:pPr>
      <w:rPr>
        <w:rFonts w:hint="default"/>
      </w:rPr>
    </w:lvl>
    <w:lvl w:ilvl="5" w:tplc="85D8551A">
      <w:numFmt w:val="bullet"/>
      <w:lvlText w:val="•"/>
      <w:lvlJc w:val="left"/>
      <w:pPr>
        <w:ind w:left="5350" w:hanging="720"/>
      </w:pPr>
      <w:rPr>
        <w:rFonts w:hint="default"/>
      </w:rPr>
    </w:lvl>
    <w:lvl w:ilvl="6" w:tplc="2A78A538">
      <w:numFmt w:val="bullet"/>
      <w:lvlText w:val="•"/>
      <w:lvlJc w:val="left"/>
      <w:pPr>
        <w:ind w:left="6252" w:hanging="720"/>
      </w:pPr>
      <w:rPr>
        <w:rFonts w:hint="default"/>
      </w:rPr>
    </w:lvl>
    <w:lvl w:ilvl="7" w:tplc="060EC1DE">
      <w:numFmt w:val="bullet"/>
      <w:lvlText w:val="•"/>
      <w:lvlJc w:val="left"/>
      <w:pPr>
        <w:ind w:left="7154" w:hanging="720"/>
      </w:pPr>
      <w:rPr>
        <w:rFonts w:hint="default"/>
      </w:rPr>
    </w:lvl>
    <w:lvl w:ilvl="8" w:tplc="0E74DBB6">
      <w:numFmt w:val="bullet"/>
      <w:lvlText w:val="•"/>
      <w:lvlJc w:val="left"/>
      <w:pPr>
        <w:ind w:left="8056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2A6"/>
    <w:rsid w:val="001A4151"/>
    <w:rsid w:val="001A5B68"/>
    <w:rsid w:val="00261892"/>
    <w:rsid w:val="002B69E7"/>
    <w:rsid w:val="00310D28"/>
    <w:rsid w:val="003A355A"/>
    <w:rsid w:val="006612A6"/>
    <w:rsid w:val="007B5D7C"/>
    <w:rsid w:val="0081139E"/>
    <w:rsid w:val="00FD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45E8E"/>
  <w15:docId w15:val="{F01BE0FE-3A1A-4579-AD35-232EF9E8F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7"/>
      <w:ind w:left="116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836" w:right="172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A3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health@uvm.edu" TargetMode="External"/><Relationship Id="rId5" Type="http://schemas.openxmlformats.org/officeDocument/2006/relationships/hyperlink" Target="mailto:safety@uvm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Gorman</dc:creator>
  <cp:lastModifiedBy>Theresa Gorman (she/her)</cp:lastModifiedBy>
  <cp:revision>7</cp:revision>
  <dcterms:created xsi:type="dcterms:W3CDTF">2019-08-02T17:18:00Z</dcterms:created>
  <dcterms:modified xsi:type="dcterms:W3CDTF">2022-09-08T19:07:00Z</dcterms:modified>
</cp:coreProperties>
</file>