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5F6" w:rsidRPr="00D065D1" w:rsidRDefault="000F65F6" w:rsidP="00D065D1">
      <w:pPr>
        <w:rPr>
          <w:b/>
          <w:sz w:val="28"/>
        </w:rPr>
      </w:pPr>
      <w:bookmarkStart w:id="0" w:name="_GoBack"/>
      <w:r w:rsidRPr="00D065D1">
        <w:rPr>
          <w:b/>
          <w:sz w:val="28"/>
        </w:rPr>
        <w:t xml:space="preserve">Whiting Public </w:t>
      </w:r>
      <w:bookmarkEnd w:id="0"/>
      <w:r w:rsidRPr="00D065D1">
        <w:rPr>
          <w:b/>
          <w:sz w:val="28"/>
        </w:rPr>
        <w:t>Library personnel policy</w:t>
      </w:r>
    </w:p>
    <w:p w:rsidR="00F2287D" w:rsidRDefault="00F2287D" w:rsidP="00E41AA3">
      <w:pPr>
        <w:pStyle w:val="FootnoteText"/>
        <w:rPr>
          <w:b/>
          <w:sz w:val="22"/>
        </w:rPr>
      </w:pPr>
    </w:p>
    <w:p w:rsidR="00E41AA3" w:rsidRPr="00D32D94" w:rsidRDefault="00E41AA3" w:rsidP="00E41AA3">
      <w:pPr>
        <w:pStyle w:val="FootnoteText"/>
        <w:rPr>
          <w:color w:val="1F4E79" w:themeColor="accent1" w:themeShade="80"/>
          <w:sz w:val="22"/>
        </w:rPr>
      </w:pPr>
      <w:bookmarkStart w:id="1" w:name="Whiting"/>
      <w:r w:rsidRPr="00D32D94">
        <w:rPr>
          <w:b/>
          <w:color w:val="1F4E79" w:themeColor="accent1" w:themeShade="80"/>
          <w:sz w:val="22"/>
        </w:rPr>
        <w:t xml:space="preserve">Example </w:t>
      </w:r>
      <w:bookmarkEnd w:id="1"/>
      <w:r w:rsidRPr="00D32D94">
        <w:rPr>
          <w:b/>
          <w:color w:val="1F4E79" w:themeColor="accent1" w:themeShade="80"/>
          <w:sz w:val="22"/>
        </w:rPr>
        <w:t xml:space="preserve">of a Vermont </w:t>
      </w:r>
      <w:r w:rsidR="008327C4" w:rsidRPr="00D32D94">
        <w:rPr>
          <w:b/>
          <w:color w:val="1F4E79" w:themeColor="accent1" w:themeShade="80"/>
          <w:sz w:val="22"/>
        </w:rPr>
        <w:t xml:space="preserve">municipal </w:t>
      </w:r>
      <w:r w:rsidRPr="00D32D94">
        <w:rPr>
          <w:b/>
          <w:color w:val="1F4E79" w:themeColor="accent1" w:themeShade="80"/>
          <w:sz w:val="22"/>
        </w:rPr>
        <w:t>public library personnel</w:t>
      </w:r>
      <w:r w:rsidR="000F65F6" w:rsidRPr="00D32D94">
        <w:rPr>
          <w:b/>
          <w:color w:val="1F4E79" w:themeColor="accent1" w:themeShade="80"/>
          <w:sz w:val="22"/>
        </w:rPr>
        <w:t xml:space="preserve"> policy</w:t>
      </w:r>
      <w:r w:rsidRPr="00D32D94">
        <w:rPr>
          <w:b/>
          <w:color w:val="1F4E79" w:themeColor="accent1" w:themeShade="80"/>
          <w:sz w:val="22"/>
        </w:rPr>
        <w:t xml:space="preserve">. </w:t>
      </w:r>
      <w:r w:rsidRPr="00D32D94">
        <w:rPr>
          <w:color w:val="1F4E79" w:themeColor="accent1" w:themeShade="80"/>
          <w:sz w:val="22"/>
        </w:rPr>
        <w:t xml:space="preserve">Please note that any mistakes from original are the author’s responsibility. </w:t>
      </w:r>
    </w:p>
    <w:p w:rsidR="00E41AA3" w:rsidRPr="00D32D94" w:rsidRDefault="00E41AA3" w:rsidP="00E41AA3">
      <w:pPr>
        <w:pStyle w:val="FootnoteText"/>
        <w:rPr>
          <w:color w:val="1F4E79" w:themeColor="accent1" w:themeShade="80"/>
          <w:sz w:val="22"/>
        </w:rPr>
      </w:pPr>
    </w:p>
    <w:p w:rsidR="00E41AA3" w:rsidRPr="00D32D94" w:rsidRDefault="00E41AA3" w:rsidP="00E41AA3">
      <w:pPr>
        <w:pStyle w:val="FootnoteText"/>
        <w:rPr>
          <w:color w:val="1F4E79" w:themeColor="accent1" w:themeShade="80"/>
          <w:sz w:val="22"/>
        </w:rPr>
      </w:pPr>
      <w:r w:rsidRPr="00D32D94">
        <w:rPr>
          <w:i/>
          <w:color w:val="1F4E79" w:themeColor="accent1" w:themeShade="80"/>
          <w:sz w:val="22"/>
        </w:rPr>
        <w:t xml:space="preserve">How relevant is </w:t>
      </w:r>
      <w:r w:rsidR="000F65F6" w:rsidRPr="00D32D94">
        <w:rPr>
          <w:i/>
          <w:color w:val="1F4E79" w:themeColor="accent1" w:themeShade="80"/>
          <w:sz w:val="22"/>
        </w:rPr>
        <w:t>Whiting</w:t>
      </w:r>
      <w:r w:rsidRPr="00D32D94">
        <w:rPr>
          <w:i/>
          <w:color w:val="1F4E79" w:themeColor="accent1" w:themeShade="80"/>
          <w:sz w:val="22"/>
        </w:rPr>
        <w:t xml:space="preserve"> to your library</w:t>
      </w:r>
      <w:r w:rsidRPr="00D32D94">
        <w:rPr>
          <w:color w:val="1F4E79" w:themeColor="accent1" w:themeShade="80"/>
          <w:sz w:val="22"/>
        </w:rPr>
        <w:t>? Whiting Public Library’s total revenue ($105,113) ranks 59</w:t>
      </w:r>
      <w:r w:rsidRPr="00D32D94">
        <w:rPr>
          <w:color w:val="1F4E79" w:themeColor="accent1" w:themeShade="80"/>
          <w:sz w:val="22"/>
          <w:vertAlign w:val="superscript"/>
        </w:rPr>
        <w:t>th</w:t>
      </w:r>
      <w:r w:rsidRPr="00D32D94">
        <w:rPr>
          <w:color w:val="1F4E79" w:themeColor="accent1" w:themeShade="80"/>
          <w:sz w:val="22"/>
        </w:rPr>
        <w:t xml:space="preserve"> in the VT Department of Libraries’ 2018 statistics</w:t>
      </w:r>
      <w:r w:rsidRPr="00D32D94">
        <w:rPr>
          <w:rStyle w:val="FootnoteReference"/>
          <w:color w:val="1F4E79" w:themeColor="accent1" w:themeShade="80"/>
          <w:sz w:val="22"/>
        </w:rPr>
        <w:footnoteReference w:id="1"/>
      </w:r>
      <w:r w:rsidRPr="00D32D94">
        <w:rPr>
          <w:color w:val="1F4E79" w:themeColor="accent1" w:themeShade="80"/>
          <w:sz w:val="22"/>
        </w:rPr>
        <w:t>. Its total rev</w:t>
      </w:r>
      <w:r w:rsidR="008327C4" w:rsidRPr="00D32D94">
        <w:rPr>
          <w:color w:val="1F4E79" w:themeColor="accent1" w:themeShade="80"/>
          <w:sz w:val="22"/>
        </w:rPr>
        <w:t>enue places the library in the 62</w:t>
      </w:r>
      <w:r w:rsidR="008327C4" w:rsidRPr="00D32D94">
        <w:rPr>
          <w:color w:val="1F4E79" w:themeColor="accent1" w:themeShade="80"/>
          <w:sz w:val="22"/>
          <w:vertAlign w:val="superscript"/>
        </w:rPr>
        <w:t>nd</w:t>
      </w:r>
      <w:r w:rsidRPr="00D32D94">
        <w:rPr>
          <w:color w:val="1F4E79" w:themeColor="accent1" w:themeShade="80"/>
          <w:sz w:val="22"/>
        </w:rPr>
        <w:t xml:space="preserve"> percentile within the state. </w:t>
      </w:r>
      <w:r w:rsidR="000F65F6" w:rsidRPr="00D32D94">
        <w:rPr>
          <w:color w:val="1F4E79" w:themeColor="accent1" w:themeShade="80"/>
          <w:sz w:val="22"/>
        </w:rPr>
        <w:t xml:space="preserve">Census population is 3,400. </w:t>
      </w:r>
      <w:r w:rsidR="008327C4" w:rsidRPr="00D32D94">
        <w:rPr>
          <w:color w:val="1F4E79" w:themeColor="accent1" w:themeShade="80"/>
          <w:sz w:val="22"/>
        </w:rPr>
        <w:t>The median total revenue for Vermont public libraries is $80,020.</w:t>
      </w:r>
    </w:p>
    <w:p w:rsidR="00E41AA3" w:rsidRPr="00D32D94" w:rsidRDefault="00E41AA3" w:rsidP="00E41AA3">
      <w:pPr>
        <w:pStyle w:val="FootnoteText"/>
        <w:rPr>
          <w:color w:val="1F4E79" w:themeColor="accent1" w:themeShade="80"/>
          <w:sz w:val="22"/>
        </w:rPr>
      </w:pPr>
    </w:p>
    <w:p w:rsidR="00E41AA3" w:rsidRDefault="000F65F6" w:rsidP="0074151D">
      <w:pPr>
        <w:pStyle w:val="FootnoteText"/>
        <w:rPr>
          <w:color w:val="1F4E79" w:themeColor="accent1" w:themeShade="80"/>
          <w:sz w:val="22"/>
        </w:rPr>
      </w:pPr>
      <w:r w:rsidRPr="00D32D94">
        <w:rPr>
          <w:color w:val="1F4E79" w:themeColor="accent1" w:themeShade="80"/>
          <w:sz w:val="22"/>
        </w:rPr>
        <w:t>Whiting</w:t>
      </w:r>
      <w:r w:rsidR="00E41AA3" w:rsidRPr="00D32D94">
        <w:rPr>
          <w:color w:val="1F4E79" w:themeColor="accent1" w:themeShade="80"/>
          <w:sz w:val="22"/>
        </w:rPr>
        <w:t xml:space="preserve"> Public Library’s policy is </w:t>
      </w:r>
      <w:r w:rsidR="0074151D" w:rsidRPr="00D32D94">
        <w:rPr>
          <w:color w:val="1F4E79" w:themeColor="accent1" w:themeShade="80"/>
          <w:sz w:val="22"/>
        </w:rPr>
        <w:t>brief, but it covers what the trustees believed were important points</w:t>
      </w:r>
      <w:r w:rsidR="00E41AA3" w:rsidRPr="00D32D94">
        <w:rPr>
          <w:color w:val="1F4E79" w:themeColor="accent1" w:themeShade="80"/>
          <w:sz w:val="22"/>
        </w:rPr>
        <w:t>. Please feel free to cu</w:t>
      </w:r>
      <w:r w:rsidR="00CC189C" w:rsidRPr="00D32D94">
        <w:rPr>
          <w:color w:val="1F4E79" w:themeColor="accent1" w:themeShade="80"/>
          <w:sz w:val="22"/>
        </w:rPr>
        <w:t xml:space="preserve">t and paste from this document </w:t>
      </w:r>
      <w:r w:rsidR="00E41AA3" w:rsidRPr="00D32D94">
        <w:rPr>
          <w:color w:val="1F4E79" w:themeColor="accent1" w:themeShade="80"/>
          <w:sz w:val="22"/>
        </w:rPr>
        <w:t xml:space="preserve">into your own policy or policy draft, and then do your own editing. There are items in other examples that do not show up in </w:t>
      </w:r>
      <w:r w:rsidRPr="00D32D94">
        <w:rPr>
          <w:color w:val="1F4E79" w:themeColor="accent1" w:themeShade="80"/>
          <w:sz w:val="22"/>
        </w:rPr>
        <w:t>Whiting’s</w:t>
      </w:r>
      <w:r w:rsidR="00E41AA3" w:rsidRPr="00D32D94">
        <w:rPr>
          <w:color w:val="1F4E79" w:themeColor="accent1" w:themeShade="80"/>
          <w:sz w:val="22"/>
        </w:rPr>
        <w:t xml:space="preserve"> policy. It is really a matter of how detailed you want to be based on your library’s collective experience through time.</w:t>
      </w:r>
    </w:p>
    <w:p w:rsidR="001953FC" w:rsidRDefault="001953FC" w:rsidP="0074151D">
      <w:pPr>
        <w:pStyle w:val="FootnoteText"/>
        <w:rPr>
          <w:color w:val="1F4E79" w:themeColor="accent1" w:themeShade="80"/>
          <w:sz w:val="22"/>
        </w:rPr>
      </w:pPr>
    </w:p>
    <w:p w:rsidR="001953FC" w:rsidRDefault="001953FC" w:rsidP="0074151D">
      <w:pPr>
        <w:pStyle w:val="FootnoteText"/>
        <w:rPr>
          <w:color w:val="1F4E79" w:themeColor="accent1" w:themeShade="80"/>
          <w:sz w:val="22"/>
        </w:rPr>
      </w:pPr>
      <w:r w:rsidRPr="001953FC">
        <w:rPr>
          <w:color w:val="1F4E79" w:themeColor="accent1" w:themeShade="80"/>
          <w:sz w:val="22"/>
        </w:rPr>
        <w:t xml:space="preserve">If you would like advice or guidance in preparing your personnel policy, or in reviewing a policy that you think needs updating, please </w:t>
      </w:r>
      <w:hyperlink r:id="rId8" w:history="1">
        <w:r w:rsidRPr="001953FC">
          <w:rPr>
            <w:rStyle w:val="Hyperlink"/>
            <w:color w:val="023160" w:themeColor="hyperlink" w:themeShade="80"/>
            <w:sz w:val="22"/>
          </w:rPr>
          <w:t>email</w:t>
        </w:r>
      </w:hyperlink>
      <w:r w:rsidRPr="001953FC">
        <w:rPr>
          <w:color w:val="1F4E79" w:themeColor="accent1" w:themeShade="80"/>
          <w:sz w:val="22"/>
        </w:rPr>
        <w:t xml:space="preserve"> or call me. My contact information is found on the last page.</w:t>
      </w:r>
    </w:p>
    <w:p w:rsidR="001953FC" w:rsidRDefault="001953FC" w:rsidP="0074151D">
      <w:pPr>
        <w:pStyle w:val="FootnoteText"/>
        <w:rPr>
          <w:color w:val="1F4E79" w:themeColor="accent1" w:themeShade="80"/>
          <w:sz w:val="22"/>
        </w:rPr>
      </w:pPr>
    </w:p>
    <w:p w:rsidR="001953FC" w:rsidRDefault="001953FC" w:rsidP="0074151D">
      <w:pPr>
        <w:pStyle w:val="FootnoteText"/>
        <w:rPr>
          <w:color w:val="1F4E79" w:themeColor="accent1" w:themeShade="80"/>
          <w:sz w:val="22"/>
        </w:rPr>
      </w:pPr>
      <w:r>
        <w:rPr>
          <w:color w:val="1F4E79" w:themeColor="accent1" w:themeShade="80"/>
          <w:sz w:val="22"/>
        </w:rPr>
        <w:t>Best regards,</w:t>
      </w:r>
    </w:p>
    <w:p w:rsidR="001953FC" w:rsidRPr="00D32D94" w:rsidRDefault="001953FC" w:rsidP="0074151D">
      <w:pPr>
        <w:pStyle w:val="FootnoteText"/>
        <w:rPr>
          <w:b/>
          <w:color w:val="1F4E79" w:themeColor="accent1" w:themeShade="80"/>
          <w:sz w:val="22"/>
        </w:rPr>
      </w:pPr>
      <w:r>
        <w:rPr>
          <w:color w:val="1F4E79" w:themeColor="accent1" w:themeShade="80"/>
          <w:sz w:val="22"/>
        </w:rPr>
        <w:t>Gary Deziel</w:t>
      </w:r>
    </w:p>
    <w:p w:rsidR="00E41AA3" w:rsidRPr="00D32D94" w:rsidRDefault="00E41AA3" w:rsidP="000D1935">
      <w:pPr>
        <w:spacing w:after="0" w:line="288" w:lineRule="auto"/>
        <w:contextualSpacing/>
        <w:rPr>
          <w:rFonts w:eastAsia="Times New Roman" w:cstheme="minorHAnsi"/>
          <w:color w:val="1F4E79" w:themeColor="accent1" w:themeShade="80"/>
        </w:rPr>
      </w:pPr>
    </w:p>
    <w:p w:rsidR="003C00D7" w:rsidRDefault="003C00D7" w:rsidP="00E41AA3">
      <w:pPr>
        <w:spacing w:after="0" w:line="288" w:lineRule="auto"/>
        <w:contextualSpacing/>
        <w:rPr>
          <w:rFonts w:eastAsia="Times New Roman" w:cstheme="minorHAnsi"/>
          <w:b/>
        </w:rPr>
      </w:pPr>
    </w:p>
    <w:p w:rsidR="00E41AA3" w:rsidRPr="00E41AA3" w:rsidRDefault="00E41AA3" w:rsidP="00E41AA3">
      <w:pPr>
        <w:spacing w:after="0" w:line="288" w:lineRule="auto"/>
        <w:contextualSpacing/>
        <w:rPr>
          <w:rFonts w:eastAsia="Times New Roman" w:cstheme="minorHAnsi"/>
          <w:b/>
        </w:rPr>
      </w:pPr>
      <w:r w:rsidRPr="00E41AA3">
        <w:rPr>
          <w:rFonts w:eastAsia="Times New Roman" w:cstheme="minorHAnsi"/>
          <w:b/>
        </w:rPr>
        <w:t>Whiting Library Personnel Policy</w:t>
      </w:r>
      <w:r w:rsidR="000F65F6">
        <w:rPr>
          <w:rStyle w:val="FootnoteReference"/>
          <w:rFonts w:eastAsia="Times New Roman" w:cstheme="minorHAnsi"/>
          <w:b/>
        </w:rPr>
        <w:footnoteReference w:id="2"/>
      </w:r>
    </w:p>
    <w:p w:rsidR="00E41AA3" w:rsidRPr="00E41AA3" w:rsidRDefault="00E41AA3" w:rsidP="00E41AA3">
      <w:pPr>
        <w:spacing w:after="0" w:line="288" w:lineRule="auto"/>
        <w:contextualSpacing/>
        <w:rPr>
          <w:rFonts w:eastAsia="Times New Roman" w:cstheme="minorHAnsi"/>
        </w:rPr>
      </w:pPr>
      <w:r w:rsidRPr="00E41AA3">
        <w:rPr>
          <w:rFonts w:eastAsia="Times New Roman" w:cstheme="minorHAnsi"/>
        </w:rPr>
        <w:t>The Whiting Library staff consists of all personnel paid through the operating budget of the Whiting Library.</w:t>
      </w:r>
    </w:p>
    <w:p w:rsidR="00E41AA3" w:rsidRPr="0074151D" w:rsidRDefault="00E41AA3" w:rsidP="0074151D">
      <w:pPr>
        <w:pStyle w:val="Heading1"/>
      </w:pPr>
      <w:r w:rsidRPr="0074151D">
        <w:t>Benefits</w:t>
      </w:r>
    </w:p>
    <w:p w:rsidR="00E41AA3" w:rsidRPr="0074151D" w:rsidRDefault="00E41AA3" w:rsidP="00E41AA3">
      <w:pPr>
        <w:spacing w:after="0" w:line="288" w:lineRule="auto"/>
        <w:contextualSpacing/>
        <w:rPr>
          <w:rFonts w:eastAsia="Times New Roman" w:cstheme="minorHAnsi"/>
          <w:b/>
        </w:rPr>
      </w:pPr>
      <w:r w:rsidRPr="0074151D">
        <w:rPr>
          <w:rFonts w:eastAsia="Times New Roman" w:cstheme="minorHAnsi"/>
          <w:b/>
        </w:rPr>
        <w:t>Paid Holidays</w:t>
      </w:r>
    </w:p>
    <w:p w:rsidR="00E41AA3" w:rsidRPr="00E41AA3" w:rsidRDefault="0074151D" w:rsidP="00E41AA3">
      <w:pPr>
        <w:spacing w:after="0" w:line="288" w:lineRule="auto"/>
        <w:contextualSpacing/>
        <w:rPr>
          <w:rFonts w:eastAsia="Times New Roman" w:cstheme="minorHAnsi"/>
        </w:rPr>
      </w:pPr>
      <w:r>
        <w:rPr>
          <w:rFonts w:eastAsia="Times New Roman" w:cstheme="minorHAnsi"/>
        </w:rPr>
        <w:t xml:space="preserve">     </w:t>
      </w:r>
      <w:r w:rsidR="00E41AA3" w:rsidRPr="00E41AA3">
        <w:rPr>
          <w:rFonts w:eastAsia="Times New Roman" w:cstheme="minorHAnsi"/>
        </w:rPr>
        <w:t xml:space="preserve">Whiting Library employees shall receive 10 paid holidays per year as </w:t>
      </w:r>
      <w:proofErr w:type="gramStart"/>
      <w:r w:rsidR="00E41AA3" w:rsidRPr="00E41AA3">
        <w:rPr>
          <w:rFonts w:eastAsia="Times New Roman" w:cstheme="minorHAnsi"/>
        </w:rPr>
        <w:t>follows :</w:t>
      </w:r>
      <w:proofErr w:type="gramEnd"/>
      <w:r w:rsidR="00E41AA3" w:rsidRPr="00E41AA3">
        <w:rPr>
          <w:rFonts w:eastAsia="Times New Roman" w:cstheme="minorHAnsi"/>
        </w:rPr>
        <w:t xml:space="preserve"> New Year’s Day, Martin Luther King Day, President’s Day, Memorial Day, Independence Day, Labor Day, Indigenous People’s Day, Veteran’s Day, Thanksgiving Day, Christmas Day.</w:t>
      </w:r>
    </w:p>
    <w:p w:rsidR="00E41AA3" w:rsidRPr="00E41AA3" w:rsidRDefault="0074151D" w:rsidP="00E41AA3">
      <w:pPr>
        <w:spacing w:after="0" w:line="288" w:lineRule="auto"/>
        <w:contextualSpacing/>
        <w:rPr>
          <w:rFonts w:eastAsia="Times New Roman" w:cstheme="minorHAnsi"/>
        </w:rPr>
      </w:pPr>
      <w:r>
        <w:rPr>
          <w:rFonts w:eastAsia="Times New Roman" w:cstheme="minorHAnsi"/>
        </w:rPr>
        <w:t xml:space="preserve">     </w:t>
      </w:r>
      <w:r w:rsidR="00E41AA3" w:rsidRPr="00E41AA3">
        <w:rPr>
          <w:rFonts w:eastAsia="Times New Roman" w:cstheme="minorHAnsi"/>
        </w:rPr>
        <w:t>In addition, the Board of Trustees may, at its discretion, grant additional days as determined by the calendar sequence of these holidays. Whiting Library will not be bound by the holidays granted to Town of Chester municipal workers.</w:t>
      </w:r>
    </w:p>
    <w:p w:rsidR="00E41AA3" w:rsidRPr="00E41AA3" w:rsidRDefault="0074151D" w:rsidP="00E41AA3">
      <w:pPr>
        <w:spacing w:after="0" w:line="288" w:lineRule="auto"/>
        <w:contextualSpacing/>
        <w:rPr>
          <w:rFonts w:eastAsia="Times New Roman" w:cstheme="minorHAnsi"/>
        </w:rPr>
      </w:pPr>
      <w:r>
        <w:rPr>
          <w:rFonts w:eastAsia="Times New Roman" w:cstheme="minorHAnsi"/>
        </w:rPr>
        <w:t xml:space="preserve">     </w:t>
      </w:r>
      <w:r w:rsidR="00E41AA3" w:rsidRPr="00E41AA3">
        <w:rPr>
          <w:rFonts w:eastAsia="Times New Roman" w:cstheme="minorHAnsi"/>
        </w:rPr>
        <w:t>Employees will receive holiday pay based on hours normally worked on that day. Employees are not paid for holidays which occur on days when the library would not be opened or for days they would not have been scheduled. In the event of library closure due to unforeseen events, staff will be paid based on hours normally worked that day.</w:t>
      </w:r>
    </w:p>
    <w:p w:rsidR="00E41AA3" w:rsidRPr="00E41AA3" w:rsidRDefault="00E41AA3" w:rsidP="00E41AA3">
      <w:pPr>
        <w:spacing w:after="0" w:line="288" w:lineRule="auto"/>
        <w:contextualSpacing/>
        <w:rPr>
          <w:rFonts w:eastAsia="Times New Roman" w:cstheme="minorHAnsi"/>
        </w:rPr>
      </w:pPr>
    </w:p>
    <w:p w:rsidR="00E41AA3" w:rsidRPr="0074151D" w:rsidRDefault="00E41AA3" w:rsidP="00E41AA3">
      <w:pPr>
        <w:spacing w:after="0" w:line="288" w:lineRule="auto"/>
        <w:contextualSpacing/>
        <w:rPr>
          <w:rFonts w:eastAsia="Times New Roman" w:cstheme="minorHAnsi"/>
          <w:b/>
        </w:rPr>
      </w:pPr>
      <w:r w:rsidRPr="0074151D">
        <w:rPr>
          <w:rFonts w:eastAsia="Times New Roman" w:cstheme="minorHAnsi"/>
          <w:b/>
        </w:rPr>
        <w:t xml:space="preserve">Personal Paid Time </w:t>
      </w:r>
      <w:proofErr w:type="gramStart"/>
      <w:r w:rsidRPr="0074151D">
        <w:rPr>
          <w:rFonts w:eastAsia="Times New Roman" w:cstheme="minorHAnsi"/>
          <w:b/>
        </w:rPr>
        <w:t>Off</w:t>
      </w:r>
      <w:proofErr w:type="gramEnd"/>
      <w:r w:rsidRPr="0074151D">
        <w:rPr>
          <w:rFonts w:eastAsia="Times New Roman" w:cstheme="minorHAnsi"/>
          <w:b/>
        </w:rPr>
        <w:t xml:space="preserve"> </w:t>
      </w:r>
      <w:r w:rsidR="00CD2AF6" w:rsidRPr="0074151D">
        <w:rPr>
          <w:rFonts w:eastAsia="Times New Roman" w:cstheme="minorHAnsi"/>
          <w:b/>
        </w:rPr>
        <w:t>(PTO</w:t>
      </w:r>
      <w:r w:rsidRPr="0074151D">
        <w:rPr>
          <w:rFonts w:eastAsia="Times New Roman" w:cstheme="minorHAnsi"/>
          <w:b/>
        </w:rPr>
        <w:t>)</w:t>
      </w:r>
    </w:p>
    <w:p w:rsidR="00E41AA3" w:rsidRPr="00E41AA3" w:rsidRDefault="0074151D" w:rsidP="00E41AA3">
      <w:pPr>
        <w:spacing w:after="0" w:line="288" w:lineRule="auto"/>
        <w:contextualSpacing/>
        <w:rPr>
          <w:rFonts w:eastAsia="Times New Roman" w:cstheme="minorHAnsi"/>
        </w:rPr>
      </w:pPr>
      <w:r>
        <w:rPr>
          <w:rFonts w:eastAsia="Times New Roman" w:cstheme="minorHAnsi"/>
        </w:rPr>
        <w:t xml:space="preserve">     </w:t>
      </w:r>
      <w:r w:rsidR="00E41AA3" w:rsidRPr="00E41AA3">
        <w:rPr>
          <w:rFonts w:eastAsia="Times New Roman" w:cstheme="minorHAnsi"/>
        </w:rPr>
        <w:t>The purpose of PTO is to provide employees with flexible paid time off for such needs and activities of the employee’s choice. Personal time may include sick time, appointments, bereavement, vacation, or other situations that require time off from work. PTO may not be used for reporting late to work.</w:t>
      </w:r>
    </w:p>
    <w:p w:rsidR="00E41AA3" w:rsidRPr="00E41AA3" w:rsidRDefault="00E41AA3" w:rsidP="00E41AA3">
      <w:pPr>
        <w:spacing w:after="0" w:line="288" w:lineRule="auto"/>
        <w:contextualSpacing/>
        <w:rPr>
          <w:rFonts w:eastAsia="Times New Roman" w:cstheme="minorHAnsi"/>
        </w:rPr>
      </w:pPr>
    </w:p>
    <w:p w:rsidR="00E41AA3" w:rsidRPr="00E41AA3" w:rsidRDefault="0074151D" w:rsidP="00E41AA3">
      <w:pPr>
        <w:spacing w:after="0" w:line="288" w:lineRule="auto"/>
        <w:contextualSpacing/>
        <w:rPr>
          <w:rFonts w:eastAsia="Times New Roman" w:cstheme="minorHAnsi"/>
        </w:rPr>
      </w:pPr>
      <w:r>
        <w:rPr>
          <w:rFonts w:eastAsia="Times New Roman" w:cstheme="minorHAnsi"/>
        </w:rPr>
        <w:t xml:space="preserve">     </w:t>
      </w:r>
      <w:r w:rsidR="00E41AA3" w:rsidRPr="00E41AA3">
        <w:rPr>
          <w:rFonts w:eastAsia="Times New Roman" w:cstheme="minorHAnsi"/>
        </w:rPr>
        <w:t>Employees of six months shall receive one week of PTO. Employees of one year to two years shall receive two weeks of PTO per year. Employees of two years through five years shall receive three weeks of PTO per year. Employees of six years and over shall receive four weeks of PTO. It is awarded at the beginning of the fiscal year.</w:t>
      </w:r>
    </w:p>
    <w:p w:rsidR="00E41AA3" w:rsidRPr="00E41AA3" w:rsidRDefault="0074151D" w:rsidP="00E41AA3">
      <w:pPr>
        <w:spacing w:after="0" w:line="288" w:lineRule="auto"/>
        <w:contextualSpacing/>
        <w:rPr>
          <w:rFonts w:eastAsia="Times New Roman" w:cstheme="minorHAnsi"/>
        </w:rPr>
      </w:pPr>
      <w:r>
        <w:rPr>
          <w:rFonts w:eastAsia="Times New Roman" w:cstheme="minorHAnsi"/>
        </w:rPr>
        <w:t xml:space="preserve">     </w:t>
      </w:r>
      <w:r w:rsidR="00E41AA3" w:rsidRPr="00E41AA3">
        <w:rPr>
          <w:rFonts w:eastAsia="Times New Roman" w:cstheme="minorHAnsi"/>
        </w:rPr>
        <w:t>PTO is calculated as normally scheduled hourly work week. PTO is not earned during extended unpaid leave, but will be prorated upon return. Employees shall charge all days off using earned PTO. Employees may not borrow against the PTO as yet unearned. PTO cannot be redeemed for monetary compensation except in case of termination of employment, when employee will be compensated for any unused PTO.</w:t>
      </w:r>
    </w:p>
    <w:p w:rsidR="00E41AA3" w:rsidRPr="00E41AA3" w:rsidRDefault="0074151D" w:rsidP="00E41AA3">
      <w:pPr>
        <w:spacing w:after="0" w:line="288" w:lineRule="auto"/>
        <w:contextualSpacing/>
        <w:rPr>
          <w:rFonts w:eastAsia="Times New Roman" w:cstheme="minorHAnsi"/>
        </w:rPr>
      </w:pPr>
      <w:r>
        <w:rPr>
          <w:rFonts w:eastAsia="Times New Roman" w:cstheme="minorHAnsi"/>
        </w:rPr>
        <w:t xml:space="preserve">     </w:t>
      </w:r>
      <w:r w:rsidR="00E41AA3" w:rsidRPr="00E41AA3">
        <w:rPr>
          <w:rFonts w:eastAsia="Times New Roman" w:cstheme="minorHAnsi"/>
        </w:rPr>
        <w:t>Extended unpaid leave may be granted following PTO expenditure for extenuating circumstances at the discretion of the Director with the best interest of staffing and community needs.</w:t>
      </w:r>
    </w:p>
    <w:p w:rsidR="00E41AA3" w:rsidRPr="00E41AA3" w:rsidRDefault="0074151D" w:rsidP="00E41AA3">
      <w:pPr>
        <w:spacing w:after="0" w:line="288" w:lineRule="auto"/>
        <w:contextualSpacing/>
        <w:rPr>
          <w:rFonts w:eastAsia="Times New Roman" w:cstheme="minorHAnsi"/>
        </w:rPr>
      </w:pPr>
      <w:r>
        <w:rPr>
          <w:rFonts w:eastAsia="Times New Roman" w:cstheme="minorHAnsi"/>
        </w:rPr>
        <w:t xml:space="preserve">     </w:t>
      </w:r>
      <w:r w:rsidR="00E41AA3" w:rsidRPr="00E41AA3">
        <w:rPr>
          <w:rFonts w:eastAsia="Times New Roman" w:cstheme="minorHAnsi"/>
        </w:rPr>
        <w:t>PTO may be carried over into a new calendar year, understanding that leave may be subject to approval of the Library Director based on staffing concerns and the need to serve our patrons. PTO may not be carried over for more than one calendar year. Employees must use their accumulated PTO or it will be forfeited at the end of the second calendar year.</w:t>
      </w:r>
    </w:p>
    <w:p w:rsidR="0074151D" w:rsidRDefault="0074151D" w:rsidP="00E41AA3">
      <w:pPr>
        <w:spacing w:after="0" w:line="288" w:lineRule="auto"/>
        <w:contextualSpacing/>
        <w:rPr>
          <w:rFonts w:eastAsia="Times New Roman" w:cstheme="minorHAnsi"/>
          <w:b/>
        </w:rPr>
      </w:pPr>
    </w:p>
    <w:p w:rsidR="00E41AA3" w:rsidRPr="00E41AA3" w:rsidRDefault="00E41AA3" w:rsidP="00E41AA3">
      <w:pPr>
        <w:spacing w:after="0" w:line="288" w:lineRule="auto"/>
        <w:contextualSpacing/>
        <w:rPr>
          <w:rFonts w:eastAsia="Times New Roman" w:cstheme="minorHAnsi"/>
        </w:rPr>
      </w:pPr>
      <w:r w:rsidRPr="0074151D">
        <w:rPr>
          <w:rFonts w:eastAsia="Times New Roman" w:cstheme="minorHAnsi"/>
          <w:b/>
        </w:rPr>
        <w:t>Employee breaks</w:t>
      </w:r>
      <w:r w:rsidRPr="00E41AA3">
        <w:rPr>
          <w:rFonts w:eastAsia="Times New Roman" w:cstheme="minorHAnsi"/>
        </w:rPr>
        <w:t xml:space="preserve"> are given for 15 minutes once during any shift of longer than 3 hours.</w:t>
      </w:r>
    </w:p>
    <w:p w:rsidR="0074151D" w:rsidRDefault="0074151D" w:rsidP="00E41AA3">
      <w:pPr>
        <w:spacing w:after="0" w:line="288" w:lineRule="auto"/>
        <w:contextualSpacing/>
        <w:rPr>
          <w:rFonts w:eastAsia="Times New Roman" w:cstheme="minorHAnsi"/>
        </w:rPr>
      </w:pPr>
    </w:p>
    <w:p w:rsidR="00E41AA3" w:rsidRPr="00E41AA3" w:rsidRDefault="0074151D" w:rsidP="00E41AA3">
      <w:pPr>
        <w:spacing w:after="0" w:line="288" w:lineRule="auto"/>
        <w:contextualSpacing/>
        <w:rPr>
          <w:rFonts w:eastAsia="Times New Roman" w:cstheme="minorHAnsi"/>
        </w:rPr>
      </w:pPr>
      <w:r w:rsidRPr="0074151D">
        <w:rPr>
          <w:rFonts w:eastAsia="Times New Roman" w:cstheme="minorHAnsi"/>
          <w:b/>
        </w:rPr>
        <w:t>Paid Lunch</w:t>
      </w:r>
      <w:r w:rsidR="00E41AA3" w:rsidRPr="00E41AA3">
        <w:rPr>
          <w:rFonts w:eastAsia="Times New Roman" w:cstheme="minorHAnsi"/>
        </w:rPr>
        <w:t>: Staff members shall receive a paid 30-minute lunch break if employee is scheduled for more than six hours in a day.</w:t>
      </w:r>
    </w:p>
    <w:p w:rsidR="00E41AA3" w:rsidRPr="00E41AA3" w:rsidRDefault="00E41AA3" w:rsidP="00E41AA3">
      <w:pPr>
        <w:spacing w:after="0" w:line="288" w:lineRule="auto"/>
        <w:contextualSpacing/>
        <w:rPr>
          <w:rFonts w:eastAsia="Times New Roman" w:cstheme="minorHAnsi"/>
        </w:rPr>
      </w:pPr>
    </w:p>
    <w:p w:rsidR="00E41AA3" w:rsidRPr="00E41AA3" w:rsidRDefault="0074151D" w:rsidP="00E41AA3">
      <w:pPr>
        <w:spacing w:after="0" w:line="288" w:lineRule="auto"/>
        <w:contextualSpacing/>
        <w:rPr>
          <w:rFonts w:eastAsia="Times New Roman" w:cstheme="minorHAnsi"/>
        </w:rPr>
      </w:pPr>
      <w:r w:rsidRPr="0074151D">
        <w:rPr>
          <w:rStyle w:val="Heading1Char"/>
          <w:rFonts w:eastAsiaTheme="minorHAnsi"/>
        </w:rPr>
        <w:t>Pay Raises</w:t>
      </w:r>
      <w:r w:rsidR="00E41AA3" w:rsidRPr="00E41AA3">
        <w:rPr>
          <w:rFonts w:eastAsia="Times New Roman" w:cstheme="minorHAnsi"/>
        </w:rPr>
        <w:t>: Increases may be paid to all staff members on an annual basis in those years the Library Board of Trustees has approved such in the Library Operating Budget.</w:t>
      </w:r>
    </w:p>
    <w:p w:rsidR="00E41AA3" w:rsidRPr="00E41AA3" w:rsidRDefault="00E41AA3" w:rsidP="00E41AA3">
      <w:pPr>
        <w:spacing w:after="0" w:line="288" w:lineRule="auto"/>
        <w:contextualSpacing/>
        <w:rPr>
          <w:rFonts w:eastAsia="Times New Roman" w:cstheme="minorHAnsi"/>
        </w:rPr>
      </w:pPr>
    </w:p>
    <w:p w:rsidR="0074151D" w:rsidRDefault="00E41AA3" w:rsidP="0074151D">
      <w:pPr>
        <w:spacing w:after="0"/>
        <w:rPr>
          <w:rFonts w:eastAsia="Times New Roman" w:cstheme="minorHAnsi"/>
        </w:rPr>
      </w:pPr>
      <w:r w:rsidRPr="0074151D">
        <w:rPr>
          <w:rStyle w:val="Heading1Char"/>
          <w:rFonts w:eastAsiaTheme="minorHAnsi"/>
        </w:rPr>
        <w:t>Grievances</w:t>
      </w:r>
      <w:r w:rsidR="0074151D">
        <w:t xml:space="preserve">: </w:t>
      </w:r>
      <w:r w:rsidRPr="00E41AA3">
        <w:rPr>
          <w:rFonts w:eastAsia="Times New Roman" w:cstheme="minorHAnsi"/>
        </w:rPr>
        <w:t>Any staff member who has work related concerns on any matter other than misconduct by the Library Director shall bring his/her concern or grievance to the Library Director.  The employee shall first present a written grievance to the Library Director within five days after the issue of concern has occurred or the date the employee first became aware of the issue, whichever is later.  The written statement shall include a clear statement of the grievance, the issue involved, the date the incident took place, the remedy requested and signature of the staff member. The Library Director shall meet with the employee within seven days, sign the employee’s written statement and if requested by either party, a member of the Personnel Committee shall participate.  If neither the Library Director nor the employee feels the matter is sufficiently resolved, either party may contact the Chair of the Board of Trustees, hereinafter Board Chair who shall bring the matter to the board’s Personnel Committee or the full Board of Trustees for resolution.  If the matter is still not satisfactorily resolved, the Board Chair shall bring the matter to the Town Man</w:t>
      </w:r>
      <w:r w:rsidR="0074151D">
        <w:rPr>
          <w:rFonts w:eastAsia="Times New Roman" w:cstheme="minorHAnsi"/>
        </w:rPr>
        <w:t>ager of Chester for resolution.</w:t>
      </w:r>
    </w:p>
    <w:p w:rsidR="00E41AA3" w:rsidRPr="00E41AA3" w:rsidRDefault="0074151D" w:rsidP="0074151D">
      <w:pPr>
        <w:rPr>
          <w:rFonts w:eastAsia="Times New Roman" w:cstheme="minorHAnsi"/>
        </w:rPr>
      </w:pPr>
      <w:r>
        <w:rPr>
          <w:rFonts w:eastAsia="Times New Roman" w:cstheme="minorHAnsi"/>
        </w:rPr>
        <w:lastRenderedPageBreak/>
        <w:t xml:space="preserve">     </w:t>
      </w:r>
      <w:r w:rsidR="00E41AA3" w:rsidRPr="00E41AA3">
        <w:rPr>
          <w:rFonts w:eastAsia="Times New Roman" w:cstheme="minorHAnsi"/>
        </w:rPr>
        <w:t>If the staff member has a concern or grievance relating to misconduct by the Library Director, the staff member shall take his/her concern or grievance to the Board Chair. The employee shall first present a written grievance to the Board Chair within five days after the issue of concern occurred or the date the employee first became aware of the issue, whichever is later.  The written statement shall include a clear statement of the grievance, the issue involved, the date the incident took place, the remedy requested and signature of the staff member. The Board Chair shall meet with the employee within seven days, sign the employee’s written statement and if requested by either party, a member of the Personnel Committee shall participate. If neither the Board Chair nor the employee feels the matter is sufficiently resolved, either party may bring the matter to the board’s Personnel Committee or the full Board of Trustees for resolution.  If the matter is still not satisfactorily resolved, the Board Chair shall bring the matter to the Town Manager of Chester for resolution.</w:t>
      </w:r>
    </w:p>
    <w:p w:rsidR="00E41AA3" w:rsidRPr="00E41AA3" w:rsidRDefault="00E41AA3" w:rsidP="00E41AA3">
      <w:pPr>
        <w:spacing w:after="0" w:line="288" w:lineRule="auto"/>
        <w:contextualSpacing/>
        <w:rPr>
          <w:rFonts w:eastAsia="Times New Roman" w:cstheme="minorHAnsi"/>
        </w:rPr>
      </w:pPr>
    </w:p>
    <w:p w:rsidR="00E41AA3" w:rsidRPr="00E41AA3" w:rsidRDefault="00E41AA3" w:rsidP="00E41AA3">
      <w:pPr>
        <w:spacing w:after="0" w:line="288" w:lineRule="auto"/>
        <w:contextualSpacing/>
        <w:rPr>
          <w:rFonts w:eastAsia="Times New Roman" w:cstheme="minorHAnsi"/>
        </w:rPr>
      </w:pPr>
      <w:r w:rsidRPr="00E41AA3">
        <w:rPr>
          <w:rFonts w:eastAsia="Times New Roman" w:cstheme="minorHAnsi"/>
        </w:rPr>
        <w:t>If the Library Director has a concern or grievance of any kind he/she shall follow the procedures above.</w:t>
      </w:r>
    </w:p>
    <w:p w:rsidR="00E41AA3" w:rsidRPr="00E41AA3" w:rsidRDefault="00E41AA3" w:rsidP="00E41AA3">
      <w:pPr>
        <w:spacing w:after="0" w:line="288" w:lineRule="auto"/>
        <w:contextualSpacing/>
        <w:rPr>
          <w:rFonts w:eastAsia="Times New Roman" w:cstheme="minorHAnsi"/>
        </w:rPr>
      </w:pPr>
    </w:p>
    <w:p w:rsidR="00E41AA3" w:rsidRDefault="00E41AA3" w:rsidP="00E41AA3">
      <w:pPr>
        <w:spacing w:after="0" w:line="288" w:lineRule="auto"/>
        <w:contextualSpacing/>
        <w:rPr>
          <w:rFonts w:eastAsia="Times New Roman" w:cstheme="minorHAnsi"/>
        </w:rPr>
      </w:pPr>
      <w:r w:rsidRPr="00E41AA3">
        <w:rPr>
          <w:rFonts w:eastAsia="Times New Roman" w:cstheme="minorHAnsi"/>
        </w:rPr>
        <w:t>December 2017</w:t>
      </w:r>
    </w:p>
    <w:p w:rsidR="00E41AA3" w:rsidRDefault="00E41AA3" w:rsidP="000D1935">
      <w:pPr>
        <w:spacing w:after="0" w:line="288" w:lineRule="auto"/>
        <w:contextualSpacing/>
        <w:rPr>
          <w:rFonts w:eastAsia="Times New Roman" w:cstheme="minorHAnsi"/>
        </w:rPr>
      </w:pPr>
    </w:p>
    <w:p w:rsidR="00A9654B" w:rsidRPr="00754C61" w:rsidRDefault="00A9654B" w:rsidP="007A0AE7">
      <w:pPr>
        <w:pBdr>
          <w:bottom w:val="single" w:sz="12" w:space="1" w:color="auto"/>
        </w:pBdr>
        <w:spacing w:after="0" w:line="264" w:lineRule="auto"/>
        <w:rPr>
          <w:rFonts w:eastAsia="Times New Roman" w:cstheme="minorHAnsi"/>
        </w:rPr>
      </w:pPr>
    </w:p>
    <w:p w:rsidR="00A9654B" w:rsidRPr="003C00D7" w:rsidRDefault="00A9654B" w:rsidP="00A9654B">
      <w:pPr>
        <w:spacing w:after="0" w:line="240" w:lineRule="auto"/>
        <w:rPr>
          <w:rFonts w:asciiTheme="majorHAnsi" w:hAnsiTheme="majorHAnsi" w:cstheme="majorHAnsi"/>
          <w:color w:val="000000"/>
          <w:sz w:val="20"/>
        </w:rPr>
      </w:pPr>
      <w:r w:rsidRPr="003C00D7">
        <w:rPr>
          <w:rFonts w:asciiTheme="majorHAnsi" w:hAnsiTheme="majorHAnsi" w:cstheme="majorHAnsi"/>
          <w:b/>
          <w:bCs/>
          <w:color w:val="000000"/>
          <w:sz w:val="20"/>
        </w:rPr>
        <w:t>Gary Deziel</w:t>
      </w:r>
      <w:r w:rsidRPr="003C00D7">
        <w:rPr>
          <w:rFonts w:asciiTheme="majorHAnsi" w:hAnsiTheme="majorHAnsi" w:cstheme="majorHAnsi"/>
          <w:color w:val="000000"/>
          <w:sz w:val="20"/>
        </w:rPr>
        <w:t>, MBA, SHRM-CP | Extension Assistant Professor</w:t>
      </w:r>
    </w:p>
    <w:p w:rsidR="00A9654B" w:rsidRPr="003C00D7" w:rsidRDefault="00A9654B" w:rsidP="00A9654B">
      <w:pPr>
        <w:spacing w:after="0" w:line="240" w:lineRule="auto"/>
        <w:rPr>
          <w:rFonts w:asciiTheme="majorHAnsi" w:hAnsiTheme="majorHAnsi" w:cstheme="majorHAnsi"/>
          <w:color w:val="002060"/>
          <w:sz w:val="20"/>
        </w:rPr>
      </w:pPr>
      <w:r w:rsidRPr="003C00D7">
        <w:rPr>
          <w:rFonts w:asciiTheme="majorHAnsi" w:hAnsiTheme="majorHAnsi" w:cstheme="majorHAnsi"/>
          <w:color w:val="002060"/>
          <w:sz w:val="20"/>
        </w:rPr>
        <w:t xml:space="preserve">University of Vermont Extension | 278 South Main Street, Suite 2 | Saint Albans, Vermont 05478-1866 | 802 524-6501 ext. 444 | </w:t>
      </w:r>
      <w:hyperlink r:id="rId9" w:history="1">
        <w:r w:rsidRPr="003C00D7">
          <w:rPr>
            <w:rFonts w:asciiTheme="majorHAnsi" w:hAnsiTheme="majorHAnsi" w:cstheme="majorHAnsi"/>
            <w:color w:val="0563C1"/>
            <w:sz w:val="20"/>
            <w:u w:val="single"/>
          </w:rPr>
          <w:t>gdeziel@uvm.edu</w:t>
        </w:r>
      </w:hyperlink>
    </w:p>
    <w:p w:rsidR="00A9654B" w:rsidRPr="003C00D7" w:rsidRDefault="00A9654B" w:rsidP="00A9654B">
      <w:pPr>
        <w:spacing w:after="0" w:line="240" w:lineRule="auto"/>
        <w:rPr>
          <w:rFonts w:asciiTheme="majorHAnsi" w:hAnsiTheme="majorHAnsi" w:cstheme="majorHAnsi"/>
          <w:color w:val="002060"/>
          <w:sz w:val="20"/>
        </w:rPr>
      </w:pPr>
    </w:p>
    <w:p w:rsidR="00A9654B" w:rsidRPr="003C00D7" w:rsidRDefault="00A9654B" w:rsidP="00A9654B">
      <w:pPr>
        <w:spacing w:after="0" w:line="240" w:lineRule="auto"/>
        <w:rPr>
          <w:rFonts w:asciiTheme="majorHAnsi" w:hAnsiTheme="majorHAnsi" w:cstheme="majorHAnsi"/>
          <w:i/>
          <w:color w:val="000000"/>
          <w:sz w:val="20"/>
        </w:rPr>
      </w:pPr>
      <w:r w:rsidRPr="003C00D7">
        <w:rPr>
          <w:rFonts w:asciiTheme="majorHAnsi" w:hAnsiTheme="majorHAnsi" w:cstheme="majorHAnsi"/>
          <w:i/>
          <w:color w:val="000000"/>
          <w:sz w:val="20"/>
        </w:rPr>
        <w:t xml:space="preserve">UVM Extension helps individuals and communities put research-based knowledge to work. </w:t>
      </w:r>
    </w:p>
    <w:p w:rsidR="00A9654B" w:rsidRPr="003C00D7" w:rsidRDefault="00A9654B" w:rsidP="00A9654B">
      <w:pPr>
        <w:spacing w:after="0" w:line="240" w:lineRule="auto"/>
        <w:rPr>
          <w:rFonts w:asciiTheme="majorHAnsi" w:hAnsiTheme="majorHAnsi" w:cstheme="majorHAnsi"/>
          <w:color w:val="000000"/>
          <w:sz w:val="20"/>
        </w:rPr>
      </w:pPr>
    </w:p>
    <w:p w:rsidR="00A9654B" w:rsidRPr="003C00D7" w:rsidRDefault="00A9654B" w:rsidP="00A9654B">
      <w:pPr>
        <w:spacing w:after="0" w:line="240" w:lineRule="auto"/>
        <w:rPr>
          <w:rFonts w:asciiTheme="majorHAnsi" w:hAnsiTheme="majorHAnsi" w:cstheme="majorHAnsi"/>
          <w:color w:val="000000"/>
          <w:sz w:val="20"/>
        </w:rPr>
      </w:pPr>
      <w:r w:rsidRPr="003C00D7">
        <w:rPr>
          <w:rFonts w:asciiTheme="majorHAnsi" w:hAnsiTheme="majorHAnsi" w:cstheme="majorHAnsi"/>
          <w:color w:val="000000"/>
          <w:sz w:val="20"/>
        </w:rPr>
        <w:t>Issued in furtherance of Cooperative Extension work, Acts of May 8 and June 30, 1914, in cooperation with the United States Department of Agriculture. University of Vermont Extension, Burlington, Vermont.</w:t>
      </w:r>
      <w:r w:rsidR="001137B4" w:rsidRPr="003C00D7">
        <w:rPr>
          <w:rFonts w:asciiTheme="majorHAnsi" w:hAnsiTheme="majorHAnsi" w:cstheme="majorHAnsi"/>
          <w:color w:val="000000"/>
          <w:sz w:val="20"/>
        </w:rPr>
        <w:t xml:space="preserve"> </w:t>
      </w:r>
      <w:r w:rsidRPr="003C00D7">
        <w:rPr>
          <w:rFonts w:asciiTheme="majorHAnsi" w:hAnsiTheme="majorHAnsi" w:cstheme="majorHAnsi"/>
          <w:color w:val="000000"/>
          <w:sz w:val="20"/>
        </w:rPr>
        <w:t>University of Vermont Extension, and U.S. Department of Agriculture, cooperating, offer education and employment to everyone without regard to race, color, national origin, gender, religion, age, disability, political beliefs, sexual orientation, and marital or familial status.</w:t>
      </w:r>
    </w:p>
    <w:sectPr w:rsidR="00A9654B" w:rsidRPr="003C00D7" w:rsidSect="00580D4F">
      <w:headerReference w:type="default" r:id="rId10"/>
      <w:footerReference w:type="default" r:id="rId1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AF6" w:rsidRDefault="00CD2AF6" w:rsidP="000D1935">
      <w:pPr>
        <w:spacing w:after="0" w:line="240" w:lineRule="auto"/>
      </w:pPr>
      <w:r>
        <w:separator/>
      </w:r>
    </w:p>
  </w:endnote>
  <w:endnote w:type="continuationSeparator" w:id="0">
    <w:p w:rsidR="00CD2AF6" w:rsidRDefault="00CD2AF6" w:rsidP="000D1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4817018"/>
      <w:docPartObj>
        <w:docPartGallery w:val="Page Numbers (Bottom of Page)"/>
        <w:docPartUnique/>
      </w:docPartObj>
    </w:sdtPr>
    <w:sdtEndPr>
      <w:rPr>
        <w:noProof/>
        <w:sz w:val="20"/>
      </w:rPr>
    </w:sdtEndPr>
    <w:sdtContent>
      <w:p w:rsidR="00CD2AF6" w:rsidRPr="00CC235B" w:rsidRDefault="00CD2AF6">
        <w:pPr>
          <w:pStyle w:val="Footer"/>
          <w:jc w:val="center"/>
          <w:rPr>
            <w:sz w:val="20"/>
          </w:rPr>
        </w:pPr>
        <w:r w:rsidRPr="00CC235B">
          <w:rPr>
            <w:sz w:val="20"/>
          </w:rPr>
          <w:fldChar w:fldCharType="begin"/>
        </w:r>
        <w:r w:rsidRPr="00CC235B">
          <w:rPr>
            <w:sz w:val="20"/>
          </w:rPr>
          <w:instrText xml:space="preserve"> PAGE   \* MERGEFORMAT </w:instrText>
        </w:r>
        <w:r w:rsidRPr="00CC235B">
          <w:rPr>
            <w:sz w:val="20"/>
          </w:rPr>
          <w:fldChar w:fldCharType="separate"/>
        </w:r>
        <w:r w:rsidR="00671AD6">
          <w:rPr>
            <w:noProof/>
            <w:sz w:val="20"/>
          </w:rPr>
          <w:t>3</w:t>
        </w:r>
        <w:r w:rsidRPr="00CC235B">
          <w:rPr>
            <w:noProof/>
            <w:sz w:val="20"/>
          </w:rPr>
          <w:fldChar w:fldCharType="end"/>
        </w:r>
      </w:p>
    </w:sdtContent>
  </w:sdt>
  <w:p w:rsidR="00CD2AF6" w:rsidRDefault="00CD2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AF6" w:rsidRDefault="00CD2AF6" w:rsidP="000D1935">
      <w:pPr>
        <w:spacing w:after="0" w:line="240" w:lineRule="auto"/>
      </w:pPr>
      <w:r>
        <w:separator/>
      </w:r>
    </w:p>
  </w:footnote>
  <w:footnote w:type="continuationSeparator" w:id="0">
    <w:p w:rsidR="00CD2AF6" w:rsidRDefault="00CD2AF6" w:rsidP="000D1935">
      <w:pPr>
        <w:spacing w:after="0" w:line="240" w:lineRule="auto"/>
      </w:pPr>
      <w:r>
        <w:continuationSeparator/>
      </w:r>
    </w:p>
  </w:footnote>
  <w:footnote w:id="1">
    <w:p w:rsidR="00CD2AF6" w:rsidRDefault="00CD2AF6" w:rsidP="00E41AA3">
      <w:pPr>
        <w:pStyle w:val="FootnoteText"/>
      </w:pPr>
      <w:r>
        <w:rPr>
          <w:rStyle w:val="FootnoteReference"/>
        </w:rPr>
        <w:footnoteRef/>
      </w:r>
      <w:r>
        <w:t xml:space="preserve"> </w:t>
      </w:r>
      <w:hyperlink r:id="rId1" w:history="1">
        <w:r w:rsidRPr="00887BBD">
          <w:rPr>
            <w:rStyle w:val="Hyperlink"/>
          </w:rPr>
          <w:t>https://libraries.vermont.gov/services/news/public_statistics</w:t>
        </w:r>
      </w:hyperlink>
    </w:p>
    <w:p w:rsidR="00CD2AF6" w:rsidRDefault="00CD2AF6" w:rsidP="00E41AA3">
      <w:pPr>
        <w:pStyle w:val="FootnoteText"/>
      </w:pPr>
      <w:r>
        <w:t>Vermont Department of Libraries, Public Library Statistics (see link to 2018). Accessed April 23, 2020.</w:t>
      </w:r>
    </w:p>
  </w:footnote>
  <w:footnote w:id="2">
    <w:p w:rsidR="00CD2AF6" w:rsidRDefault="00CD2AF6">
      <w:pPr>
        <w:pStyle w:val="FootnoteText"/>
      </w:pPr>
      <w:r>
        <w:rPr>
          <w:rStyle w:val="FootnoteReference"/>
        </w:rPr>
        <w:footnoteRef/>
      </w:r>
      <w:r>
        <w:t xml:space="preserve"> </w:t>
      </w:r>
      <w:hyperlink r:id="rId2" w:history="1">
        <w:r w:rsidRPr="00007E2C">
          <w:rPr>
            <w:rStyle w:val="Hyperlink"/>
          </w:rPr>
          <w:t>https://www.whitinglibrary.org/about-whiting-library/policies/</w:t>
        </w:r>
      </w:hyperlink>
    </w:p>
    <w:p w:rsidR="00CD2AF6" w:rsidRDefault="00CD2AF6">
      <w:pPr>
        <w:pStyle w:val="FootnoteText"/>
      </w:pPr>
      <w:r>
        <w:t>Whiting Public Library Policies. Accessed April 28,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3FC" w:rsidRDefault="001953FC" w:rsidP="001953FC">
    <w:r>
      <w:rPr>
        <w:b/>
      </w:rPr>
      <w:t>Public library personnel policy</w:t>
    </w:r>
    <w:r>
      <w:rPr>
        <w:b/>
      </w:rPr>
      <w:t xml:space="preserve"> - EXAMPLE</w:t>
    </w:r>
    <w:r>
      <w:rPr>
        <w:b/>
      </w:rPr>
      <w:br/>
    </w:r>
    <w:r>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-323850</wp:posOffset>
          </wp:positionV>
          <wp:extent cx="2788285" cy="696595"/>
          <wp:effectExtent l="0" t="0" r="0" b="8255"/>
          <wp:wrapThrough wrapText="bothSides">
            <wp:wrapPolygon edited="0">
              <wp:start x="0" y="0"/>
              <wp:lineTo x="0" y="21265"/>
              <wp:lineTo x="21398" y="21265"/>
              <wp:lineTo x="2139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8285" cy="696595"/>
                  </a:xfrm>
                  <a:prstGeom prst="rect">
                    <a:avLst/>
                  </a:prstGeom>
                  <a:noFill/>
                </pic:spPr>
              </pic:pic>
            </a:graphicData>
          </a:graphic>
          <wp14:sizeRelH relativeFrom="margin">
            <wp14:pctWidth>0</wp14:pctWidth>
          </wp14:sizeRelH>
          <wp14:sizeRelV relativeFrom="margin">
            <wp14:pctHeight>0</wp14:pctHeight>
          </wp14:sizeRelV>
        </wp:anchor>
      </w:drawing>
    </w:r>
    <w:r>
      <w:t>VT Public Library Human resource guide</w:t>
    </w:r>
    <w:r>
      <w:br/>
    </w:r>
    <w:r>
      <w:t>MAY 2020</w:t>
    </w:r>
  </w:p>
  <w:p w:rsidR="00CD2AF6" w:rsidRPr="000D1935" w:rsidRDefault="00CD2AF6">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2C9E"/>
    <w:multiLevelType w:val="multilevel"/>
    <w:tmpl w:val="2634E322"/>
    <w:lvl w:ilvl="0">
      <w:start w:val="1"/>
      <w:numFmt w:val="decimal"/>
      <w:lvlText w:val="%1."/>
      <w:lvlJc w:val="left"/>
      <w:pPr>
        <w:ind w:left="360" w:hanging="360"/>
      </w:pPr>
      <w:rPr>
        <w:rFonts w:hint="default"/>
        <w:sz w:val="22"/>
      </w:rPr>
    </w:lvl>
    <w:lvl w:ilvl="1">
      <w:start w:val="3"/>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30957FF"/>
    <w:multiLevelType w:val="hybridMultilevel"/>
    <w:tmpl w:val="22F43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83307"/>
    <w:multiLevelType w:val="hybridMultilevel"/>
    <w:tmpl w:val="B20E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903F08"/>
    <w:multiLevelType w:val="hybridMultilevel"/>
    <w:tmpl w:val="ABB4A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C66A0A"/>
    <w:multiLevelType w:val="hybridMultilevel"/>
    <w:tmpl w:val="91FA9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6C2767"/>
    <w:multiLevelType w:val="multilevel"/>
    <w:tmpl w:val="86DC2CD2"/>
    <w:lvl w:ilvl="0">
      <w:start w:val="1"/>
      <w:numFmt w:val="decimal"/>
      <w:lvlText w:val="%1."/>
      <w:lvlJc w:val="left"/>
      <w:pPr>
        <w:ind w:left="396" w:hanging="396"/>
      </w:pPr>
      <w:rPr>
        <w:rFonts w:hint="default"/>
        <w:b/>
      </w:rPr>
    </w:lvl>
    <w:lvl w:ilvl="1">
      <w:start w:val="1"/>
      <w:numFmt w:val="decimal"/>
      <w:lvlText w:val="%1.%2."/>
      <w:lvlJc w:val="left"/>
      <w:pPr>
        <w:ind w:left="396" w:hanging="39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51AF6A9D"/>
    <w:multiLevelType w:val="hybridMultilevel"/>
    <w:tmpl w:val="34D0981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D34174"/>
    <w:multiLevelType w:val="hybridMultilevel"/>
    <w:tmpl w:val="78F86020"/>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7C4B1031"/>
    <w:multiLevelType w:val="multilevel"/>
    <w:tmpl w:val="B7CE0FF4"/>
    <w:lvl w:ilvl="0">
      <w:start w:val="1"/>
      <w:numFmt w:val="decimal"/>
      <w:lvlText w:val="%1)"/>
      <w:lvlJc w:val="left"/>
      <w:pPr>
        <w:ind w:left="540" w:hanging="360"/>
      </w:pPr>
      <w:rPr>
        <w:rFonts w:hint="default"/>
        <w:sz w:val="22"/>
      </w:rPr>
    </w:lvl>
    <w:lvl w:ilvl="1">
      <w:start w:val="1"/>
      <w:numFmt w:val="lowerLetter"/>
      <w:lvlText w:val="%2)"/>
      <w:lvlJc w:val="left"/>
      <w:pPr>
        <w:ind w:left="900" w:hanging="360"/>
      </w:pPr>
      <w:rPr>
        <w:rFonts w:hint="default"/>
      </w:rPr>
    </w:lvl>
    <w:lvl w:ilvl="2">
      <w:start w:val="1"/>
      <w:numFmt w:val="lowerRoman"/>
      <w:lvlText w:val="%3)"/>
      <w:lvlJc w:val="left"/>
      <w:pPr>
        <w:ind w:left="1260" w:hanging="360"/>
      </w:pPr>
      <w:rPr>
        <w:rFonts w:hint="default"/>
      </w:rPr>
    </w:lvl>
    <w:lvl w:ilvl="3">
      <w:start w:val="1"/>
      <w:numFmt w:val="decimal"/>
      <w:lvlText w:val="(%4)"/>
      <w:lvlJc w:val="left"/>
      <w:pPr>
        <w:ind w:left="1620" w:hanging="360"/>
      </w:pPr>
      <w:rPr>
        <w:rFonts w:hint="default"/>
      </w:rPr>
    </w:lvl>
    <w:lvl w:ilvl="4">
      <w:start w:val="1"/>
      <w:numFmt w:val="lowerLetter"/>
      <w:lvlText w:val="(%5)"/>
      <w:lvlJc w:val="left"/>
      <w:pPr>
        <w:ind w:left="1980" w:hanging="360"/>
      </w:pPr>
      <w:rPr>
        <w:rFonts w:hint="default"/>
      </w:rPr>
    </w:lvl>
    <w:lvl w:ilvl="5">
      <w:start w:val="1"/>
      <w:numFmt w:val="lowerRoman"/>
      <w:lvlText w:val="(%6)"/>
      <w:lvlJc w:val="left"/>
      <w:pPr>
        <w:ind w:left="2340" w:hanging="360"/>
      </w:pPr>
      <w:rPr>
        <w:rFonts w:hint="default"/>
      </w:rPr>
    </w:lvl>
    <w:lvl w:ilvl="6">
      <w:start w:val="1"/>
      <w:numFmt w:val="decimal"/>
      <w:lvlText w:val="%7."/>
      <w:lvlJc w:val="left"/>
      <w:pPr>
        <w:ind w:left="2700" w:hanging="360"/>
      </w:pPr>
      <w:rPr>
        <w:rFonts w:hint="default"/>
      </w:rPr>
    </w:lvl>
    <w:lvl w:ilvl="7">
      <w:start w:val="1"/>
      <w:numFmt w:val="lowerLetter"/>
      <w:lvlText w:val="%8."/>
      <w:lvlJc w:val="left"/>
      <w:pPr>
        <w:ind w:left="3060" w:hanging="360"/>
      </w:pPr>
      <w:rPr>
        <w:rFonts w:hint="default"/>
      </w:rPr>
    </w:lvl>
    <w:lvl w:ilvl="8">
      <w:start w:val="1"/>
      <w:numFmt w:val="lowerRoman"/>
      <w:lvlText w:val="%9."/>
      <w:lvlJc w:val="left"/>
      <w:pPr>
        <w:ind w:left="3420" w:hanging="360"/>
      </w:pPr>
      <w:rPr>
        <w:rFonts w:hint="default"/>
      </w:rPr>
    </w:lvl>
  </w:abstractNum>
  <w:num w:numId="1">
    <w:abstractNumId w:val="0"/>
  </w:num>
  <w:num w:numId="2">
    <w:abstractNumId w:val="3"/>
  </w:num>
  <w:num w:numId="3">
    <w:abstractNumId w:val="8"/>
  </w:num>
  <w:num w:numId="4">
    <w:abstractNumId w:val="2"/>
  </w:num>
  <w:num w:numId="5">
    <w:abstractNumId w:val="6"/>
  </w:num>
  <w:num w:numId="6">
    <w:abstractNumId w:val="1"/>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autoHyphenation/>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C6C"/>
    <w:rsid w:val="00030216"/>
    <w:rsid w:val="00054FAC"/>
    <w:rsid w:val="00084BA9"/>
    <w:rsid w:val="000D1935"/>
    <w:rsid w:val="000D7501"/>
    <w:rsid w:val="000F65F6"/>
    <w:rsid w:val="001137B4"/>
    <w:rsid w:val="00114BF5"/>
    <w:rsid w:val="0013227D"/>
    <w:rsid w:val="00173A0E"/>
    <w:rsid w:val="00173A3A"/>
    <w:rsid w:val="00192D8D"/>
    <w:rsid w:val="001953FC"/>
    <w:rsid w:val="002330C3"/>
    <w:rsid w:val="00241965"/>
    <w:rsid w:val="0029611C"/>
    <w:rsid w:val="002A16AA"/>
    <w:rsid w:val="002A3826"/>
    <w:rsid w:val="002D4D7C"/>
    <w:rsid w:val="00356950"/>
    <w:rsid w:val="00397589"/>
    <w:rsid w:val="003C00D7"/>
    <w:rsid w:val="00441AA2"/>
    <w:rsid w:val="004A08FB"/>
    <w:rsid w:val="005339F0"/>
    <w:rsid w:val="00551B18"/>
    <w:rsid w:val="00580D4F"/>
    <w:rsid w:val="005C2B96"/>
    <w:rsid w:val="005E3738"/>
    <w:rsid w:val="006211C5"/>
    <w:rsid w:val="00655703"/>
    <w:rsid w:val="00671AD6"/>
    <w:rsid w:val="006C00F5"/>
    <w:rsid w:val="006D0F16"/>
    <w:rsid w:val="007318D4"/>
    <w:rsid w:val="0074151D"/>
    <w:rsid w:val="00754C61"/>
    <w:rsid w:val="0078728A"/>
    <w:rsid w:val="00797335"/>
    <w:rsid w:val="007A0AE7"/>
    <w:rsid w:val="008261EA"/>
    <w:rsid w:val="008327C4"/>
    <w:rsid w:val="008360E6"/>
    <w:rsid w:val="008572A4"/>
    <w:rsid w:val="008879FE"/>
    <w:rsid w:val="00907F44"/>
    <w:rsid w:val="009730FF"/>
    <w:rsid w:val="009848CC"/>
    <w:rsid w:val="009D1D47"/>
    <w:rsid w:val="009D203E"/>
    <w:rsid w:val="00A11F01"/>
    <w:rsid w:val="00A11FEB"/>
    <w:rsid w:val="00A1568A"/>
    <w:rsid w:val="00A36F7A"/>
    <w:rsid w:val="00A64CDC"/>
    <w:rsid w:val="00A677FF"/>
    <w:rsid w:val="00A7145F"/>
    <w:rsid w:val="00A9654B"/>
    <w:rsid w:val="00AA1B2F"/>
    <w:rsid w:val="00AE23D9"/>
    <w:rsid w:val="00B0626F"/>
    <w:rsid w:val="00B56FCD"/>
    <w:rsid w:val="00BE6F0E"/>
    <w:rsid w:val="00C166F2"/>
    <w:rsid w:val="00C717BC"/>
    <w:rsid w:val="00C7209D"/>
    <w:rsid w:val="00CB28A3"/>
    <w:rsid w:val="00CC189C"/>
    <w:rsid w:val="00CC2315"/>
    <w:rsid w:val="00CC235B"/>
    <w:rsid w:val="00CD2AF6"/>
    <w:rsid w:val="00D065D1"/>
    <w:rsid w:val="00D16451"/>
    <w:rsid w:val="00D32D94"/>
    <w:rsid w:val="00D4200C"/>
    <w:rsid w:val="00D5691C"/>
    <w:rsid w:val="00D66785"/>
    <w:rsid w:val="00D9770D"/>
    <w:rsid w:val="00DA4DDA"/>
    <w:rsid w:val="00DD3A3F"/>
    <w:rsid w:val="00DE3ADA"/>
    <w:rsid w:val="00E41AA3"/>
    <w:rsid w:val="00E65904"/>
    <w:rsid w:val="00EA5CB7"/>
    <w:rsid w:val="00F2287D"/>
    <w:rsid w:val="00F62D17"/>
    <w:rsid w:val="00F962B0"/>
    <w:rsid w:val="00FA6FCD"/>
    <w:rsid w:val="00FE44C9"/>
    <w:rsid w:val="00FF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78F3F516"/>
  <w15:chartTrackingRefBased/>
  <w15:docId w15:val="{8252F319-9491-48B8-AE6A-9030D629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5691C"/>
    <w:pPr>
      <w:spacing w:before="100" w:beforeAutospacing="1" w:after="100" w:afterAutospacing="1" w:line="240" w:lineRule="auto"/>
      <w:outlineLvl w:val="0"/>
    </w:pPr>
    <w:rPr>
      <w:rFonts w:eastAsia="Times New Roman" w:cs="Times New Roman"/>
      <w:b/>
      <w:bCs/>
      <w:kern w:val="36"/>
      <w:szCs w:val="48"/>
    </w:rPr>
  </w:style>
  <w:style w:type="paragraph" w:styleId="Heading2">
    <w:name w:val="heading 2"/>
    <w:basedOn w:val="Normal"/>
    <w:next w:val="Normal"/>
    <w:link w:val="Heading2Char"/>
    <w:uiPriority w:val="9"/>
    <w:unhideWhenUsed/>
    <w:qFormat/>
    <w:rsid w:val="00B062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A3A"/>
    <w:pPr>
      <w:ind w:left="720"/>
      <w:contextualSpacing/>
    </w:pPr>
  </w:style>
  <w:style w:type="paragraph" w:styleId="Header">
    <w:name w:val="header"/>
    <w:basedOn w:val="Normal"/>
    <w:link w:val="HeaderChar"/>
    <w:uiPriority w:val="99"/>
    <w:unhideWhenUsed/>
    <w:rsid w:val="000D19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935"/>
  </w:style>
  <w:style w:type="paragraph" w:styleId="Footer">
    <w:name w:val="footer"/>
    <w:basedOn w:val="Normal"/>
    <w:link w:val="FooterChar"/>
    <w:uiPriority w:val="99"/>
    <w:unhideWhenUsed/>
    <w:rsid w:val="000D1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935"/>
  </w:style>
  <w:style w:type="character" w:styleId="Hyperlink">
    <w:name w:val="Hyperlink"/>
    <w:basedOn w:val="DefaultParagraphFont"/>
    <w:uiPriority w:val="99"/>
    <w:unhideWhenUsed/>
    <w:rsid w:val="000D1935"/>
    <w:rPr>
      <w:color w:val="0563C1" w:themeColor="hyperlink"/>
      <w:u w:val="single"/>
    </w:rPr>
  </w:style>
  <w:style w:type="character" w:customStyle="1" w:styleId="Heading1Char">
    <w:name w:val="Heading 1 Char"/>
    <w:basedOn w:val="DefaultParagraphFont"/>
    <w:link w:val="Heading1"/>
    <w:uiPriority w:val="9"/>
    <w:rsid w:val="00D5691C"/>
    <w:rPr>
      <w:rFonts w:eastAsia="Times New Roman" w:cs="Times New Roman"/>
      <w:b/>
      <w:bCs/>
      <w:kern w:val="36"/>
      <w:szCs w:val="48"/>
    </w:rPr>
  </w:style>
  <w:style w:type="paragraph" w:styleId="FootnoteText">
    <w:name w:val="footnote text"/>
    <w:basedOn w:val="Normal"/>
    <w:link w:val="FootnoteTextChar"/>
    <w:uiPriority w:val="99"/>
    <w:semiHidden/>
    <w:unhideWhenUsed/>
    <w:rsid w:val="00A11F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1FEB"/>
    <w:rPr>
      <w:sz w:val="20"/>
      <w:szCs w:val="20"/>
    </w:rPr>
  </w:style>
  <w:style w:type="character" w:styleId="FootnoteReference">
    <w:name w:val="footnote reference"/>
    <w:basedOn w:val="DefaultParagraphFont"/>
    <w:uiPriority w:val="99"/>
    <w:semiHidden/>
    <w:unhideWhenUsed/>
    <w:rsid w:val="00A11FEB"/>
    <w:rPr>
      <w:vertAlign w:val="superscript"/>
    </w:rPr>
  </w:style>
  <w:style w:type="character" w:styleId="FollowedHyperlink">
    <w:name w:val="FollowedHyperlink"/>
    <w:basedOn w:val="DefaultParagraphFont"/>
    <w:uiPriority w:val="99"/>
    <w:semiHidden/>
    <w:unhideWhenUsed/>
    <w:rsid w:val="00907F44"/>
    <w:rPr>
      <w:color w:val="954F72" w:themeColor="followedHyperlink"/>
      <w:u w:val="single"/>
    </w:rPr>
  </w:style>
  <w:style w:type="paragraph" w:styleId="BalloonText">
    <w:name w:val="Balloon Text"/>
    <w:basedOn w:val="Normal"/>
    <w:link w:val="BalloonTextChar"/>
    <w:uiPriority w:val="99"/>
    <w:semiHidden/>
    <w:unhideWhenUsed/>
    <w:rsid w:val="00D667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785"/>
    <w:rPr>
      <w:rFonts w:ascii="Segoe UI" w:hAnsi="Segoe UI" w:cs="Segoe UI"/>
      <w:sz w:val="18"/>
      <w:szCs w:val="18"/>
    </w:rPr>
  </w:style>
  <w:style w:type="paragraph" w:customStyle="1" w:styleId="Heading20">
    <w:name w:val="Heading 20"/>
    <w:basedOn w:val="Normal"/>
    <w:link w:val="Heading20Char"/>
    <w:qFormat/>
    <w:rsid w:val="00E65904"/>
    <w:pPr>
      <w:spacing w:after="60" w:line="288" w:lineRule="auto"/>
      <w:ind w:left="360" w:hanging="360"/>
      <w:contextualSpacing/>
      <w:jc w:val="both"/>
    </w:pPr>
    <w:rPr>
      <w:rFonts w:eastAsia="Times New Roman" w:cstheme="minorHAnsi"/>
      <w:b/>
    </w:rPr>
  </w:style>
  <w:style w:type="paragraph" w:styleId="TOCHeading">
    <w:name w:val="TOC Heading"/>
    <w:basedOn w:val="Heading1"/>
    <w:next w:val="Normal"/>
    <w:uiPriority w:val="39"/>
    <w:unhideWhenUsed/>
    <w:qFormat/>
    <w:rsid w:val="00D5691C"/>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Heading20Char">
    <w:name w:val="Heading 20 Char"/>
    <w:basedOn w:val="DefaultParagraphFont"/>
    <w:link w:val="Heading20"/>
    <w:rsid w:val="00E65904"/>
    <w:rPr>
      <w:rFonts w:eastAsia="Times New Roman" w:cstheme="minorHAnsi"/>
      <w:b/>
    </w:rPr>
  </w:style>
  <w:style w:type="paragraph" w:styleId="TOC9">
    <w:name w:val="toc 9"/>
    <w:basedOn w:val="Normal"/>
    <w:next w:val="Normal"/>
    <w:autoRedefine/>
    <w:uiPriority w:val="39"/>
    <w:semiHidden/>
    <w:unhideWhenUsed/>
    <w:rsid w:val="00D5691C"/>
    <w:pPr>
      <w:spacing w:after="100"/>
      <w:ind w:left="1760"/>
    </w:pPr>
  </w:style>
  <w:style w:type="paragraph" w:styleId="TOC1">
    <w:name w:val="toc 1"/>
    <w:basedOn w:val="Normal"/>
    <w:next w:val="Normal"/>
    <w:autoRedefine/>
    <w:uiPriority w:val="39"/>
    <w:unhideWhenUsed/>
    <w:rsid w:val="002D4D7C"/>
    <w:pPr>
      <w:spacing w:after="100"/>
    </w:pPr>
  </w:style>
  <w:style w:type="paragraph" w:styleId="NoSpacing">
    <w:name w:val="No Spacing"/>
    <w:link w:val="NoSpacingChar"/>
    <w:uiPriority w:val="1"/>
    <w:qFormat/>
    <w:rsid w:val="00A677FF"/>
    <w:pPr>
      <w:spacing w:after="0" w:line="240" w:lineRule="auto"/>
    </w:pPr>
    <w:rPr>
      <w:rFonts w:eastAsiaTheme="minorEastAsia"/>
    </w:rPr>
  </w:style>
  <w:style w:type="character" w:customStyle="1" w:styleId="NoSpacingChar">
    <w:name w:val="No Spacing Char"/>
    <w:basedOn w:val="DefaultParagraphFont"/>
    <w:link w:val="NoSpacing"/>
    <w:uiPriority w:val="1"/>
    <w:rsid w:val="00A677FF"/>
    <w:rPr>
      <w:rFonts w:eastAsiaTheme="minorEastAsia"/>
    </w:rPr>
  </w:style>
  <w:style w:type="character" w:customStyle="1" w:styleId="Heading2Char">
    <w:name w:val="Heading 2 Char"/>
    <w:basedOn w:val="DefaultParagraphFont"/>
    <w:link w:val="Heading2"/>
    <w:uiPriority w:val="9"/>
    <w:rsid w:val="00B0626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88998">
      <w:bodyDiv w:val="1"/>
      <w:marLeft w:val="0"/>
      <w:marRight w:val="0"/>
      <w:marTop w:val="0"/>
      <w:marBottom w:val="0"/>
      <w:divBdr>
        <w:top w:val="none" w:sz="0" w:space="0" w:color="auto"/>
        <w:left w:val="none" w:sz="0" w:space="0" w:color="auto"/>
        <w:bottom w:val="none" w:sz="0" w:space="0" w:color="auto"/>
        <w:right w:val="none" w:sz="0" w:space="0" w:color="auto"/>
      </w:divBdr>
    </w:div>
    <w:div w:id="739138652">
      <w:bodyDiv w:val="1"/>
      <w:marLeft w:val="0"/>
      <w:marRight w:val="0"/>
      <w:marTop w:val="0"/>
      <w:marBottom w:val="0"/>
      <w:divBdr>
        <w:top w:val="none" w:sz="0" w:space="0" w:color="auto"/>
        <w:left w:val="none" w:sz="0" w:space="0" w:color="auto"/>
        <w:bottom w:val="none" w:sz="0" w:space="0" w:color="auto"/>
        <w:right w:val="none" w:sz="0" w:space="0" w:color="auto"/>
      </w:divBdr>
      <w:divsChild>
        <w:div w:id="1331564149">
          <w:marLeft w:val="0"/>
          <w:marRight w:val="0"/>
          <w:marTop w:val="0"/>
          <w:marBottom w:val="0"/>
          <w:divBdr>
            <w:top w:val="none" w:sz="0" w:space="0" w:color="auto"/>
            <w:left w:val="none" w:sz="0" w:space="0" w:color="auto"/>
            <w:bottom w:val="none" w:sz="0" w:space="0" w:color="auto"/>
            <w:right w:val="none" w:sz="0" w:space="0" w:color="auto"/>
          </w:divBdr>
          <w:divsChild>
            <w:div w:id="549420059">
              <w:marLeft w:val="0"/>
              <w:marRight w:val="0"/>
              <w:marTop w:val="0"/>
              <w:marBottom w:val="0"/>
              <w:divBdr>
                <w:top w:val="none" w:sz="0" w:space="0" w:color="auto"/>
                <w:left w:val="none" w:sz="0" w:space="0" w:color="auto"/>
                <w:bottom w:val="none" w:sz="0" w:space="0" w:color="auto"/>
                <w:right w:val="none" w:sz="0" w:space="0" w:color="auto"/>
              </w:divBdr>
              <w:divsChild>
                <w:div w:id="189492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876255">
      <w:bodyDiv w:val="1"/>
      <w:marLeft w:val="0"/>
      <w:marRight w:val="0"/>
      <w:marTop w:val="0"/>
      <w:marBottom w:val="0"/>
      <w:divBdr>
        <w:top w:val="none" w:sz="0" w:space="0" w:color="auto"/>
        <w:left w:val="none" w:sz="0" w:space="0" w:color="auto"/>
        <w:bottom w:val="none" w:sz="0" w:space="0" w:color="auto"/>
        <w:right w:val="none" w:sz="0" w:space="0" w:color="auto"/>
      </w:divBdr>
      <w:divsChild>
        <w:div w:id="1491143161">
          <w:marLeft w:val="0"/>
          <w:marRight w:val="0"/>
          <w:marTop w:val="0"/>
          <w:marBottom w:val="0"/>
          <w:divBdr>
            <w:top w:val="none" w:sz="0" w:space="0" w:color="auto"/>
            <w:left w:val="none" w:sz="0" w:space="0" w:color="auto"/>
            <w:bottom w:val="none" w:sz="0" w:space="0" w:color="auto"/>
            <w:right w:val="none" w:sz="0" w:space="0" w:color="auto"/>
          </w:divBdr>
        </w:div>
      </w:divsChild>
    </w:div>
    <w:div w:id="1101684085">
      <w:bodyDiv w:val="1"/>
      <w:marLeft w:val="0"/>
      <w:marRight w:val="0"/>
      <w:marTop w:val="0"/>
      <w:marBottom w:val="0"/>
      <w:divBdr>
        <w:top w:val="none" w:sz="0" w:space="0" w:color="auto"/>
        <w:left w:val="none" w:sz="0" w:space="0" w:color="auto"/>
        <w:bottom w:val="none" w:sz="0" w:space="0" w:color="auto"/>
        <w:right w:val="none" w:sz="0" w:space="0" w:color="auto"/>
      </w:divBdr>
    </w:div>
    <w:div w:id="1172601187">
      <w:bodyDiv w:val="1"/>
      <w:marLeft w:val="0"/>
      <w:marRight w:val="0"/>
      <w:marTop w:val="0"/>
      <w:marBottom w:val="0"/>
      <w:divBdr>
        <w:top w:val="none" w:sz="0" w:space="0" w:color="auto"/>
        <w:left w:val="none" w:sz="0" w:space="0" w:color="auto"/>
        <w:bottom w:val="none" w:sz="0" w:space="0" w:color="auto"/>
        <w:right w:val="none" w:sz="0" w:space="0" w:color="auto"/>
      </w:divBdr>
    </w:div>
    <w:div w:id="140525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eziel@uvm.edu?subject=Library%20personnel%20policy%20-%20inquiry%20[Whit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deziel@uvm.ed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whitinglibrary.org/about-whiting-library/policies/" TargetMode="External"/><Relationship Id="rId1" Type="http://schemas.openxmlformats.org/officeDocument/2006/relationships/hyperlink" Target="https://libraries.vermont.gov/services/news/public_statist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9EAE0-31F0-41DF-AD11-0AB09D690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Deziel</dc:creator>
  <cp:keywords/>
  <dc:description/>
  <cp:lastModifiedBy>Gary Deziel</cp:lastModifiedBy>
  <cp:revision>10</cp:revision>
  <cp:lastPrinted>2020-04-29T20:01:00Z</cp:lastPrinted>
  <dcterms:created xsi:type="dcterms:W3CDTF">2020-05-04T18:55:00Z</dcterms:created>
  <dcterms:modified xsi:type="dcterms:W3CDTF">2020-05-05T15:47:00Z</dcterms:modified>
</cp:coreProperties>
</file>