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8D8C" w14:textId="621CA02A" w:rsidR="2BE0146E" w:rsidRPr="0028779A" w:rsidRDefault="51219CE6" w:rsidP="5BC97894">
      <w:pPr>
        <w:rPr>
          <w:rFonts w:ascii="Centaur" w:eastAsia="Avenir Next LT Pro" w:hAnsi="Centaur" w:cs="Avenir Next LT Pro"/>
          <w:b/>
          <w:bCs/>
          <w:sz w:val="28"/>
          <w:szCs w:val="28"/>
        </w:rPr>
      </w:pPr>
      <w:r w:rsidRPr="0028779A">
        <w:rPr>
          <w:rFonts w:ascii="Centaur" w:eastAsia="Avenir Next LT Pro" w:hAnsi="Centaur" w:cs="Avenir Next LT Pro"/>
          <w:b/>
          <w:bCs/>
          <w:sz w:val="28"/>
          <w:szCs w:val="28"/>
        </w:rPr>
        <w:t>Course Designation Criteria</w:t>
      </w:r>
    </w:p>
    <w:p w14:paraId="69D6F5A7" w14:textId="31850795" w:rsidR="2BE0146E" w:rsidRPr="0028779A" w:rsidRDefault="2BE0146E" w:rsidP="5BC97894">
      <w:pPr>
        <w:spacing w:line="240" w:lineRule="exact"/>
        <w:rPr>
          <w:rFonts w:ascii="Centaur" w:eastAsia="Avenir Next" w:hAnsi="Centaur" w:cs="Avenir Next"/>
          <w:b/>
          <w:bCs/>
          <w:color w:val="000000" w:themeColor="text1"/>
        </w:rPr>
      </w:pPr>
    </w:p>
    <w:tbl>
      <w:tblPr>
        <w:tblStyle w:val="ListTable3-Accent6"/>
        <w:tblW w:w="9360" w:type="dxa"/>
        <w:tblInd w:w="165" w:type="dxa"/>
        <w:tblLayout w:type="fixed"/>
        <w:tblLook w:val="06A0" w:firstRow="1" w:lastRow="0" w:firstColumn="1" w:lastColumn="0" w:noHBand="1" w:noVBand="1"/>
      </w:tblPr>
      <w:tblGrid>
        <w:gridCol w:w="1545"/>
        <w:gridCol w:w="3865"/>
        <w:gridCol w:w="3950"/>
      </w:tblGrid>
      <w:tr w:rsidR="00D32942" w:rsidRPr="0028779A" w14:paraId="4E3CB5CD" w14:textId="77777777" w:rsidTr="00D3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DB102" w14:textId="55827436" w:rsidR="5BC97894" w:rsidRPr="0028779A" w:rsidRDefault="5BC97894" w:rsidP="0028779A">
            <w:pPr>
              <w:spacing w:line="259" w:lineRule="auto"/>
              <w:jc w:val="center"/>
              <w:rPr>
                <w:rFonts w:ascii="Centaur" w:hAnsi="Centaur"/>
                <w:color w:val="auto"/>
                <w:sz w:val="32"/>
              </w:rPr>
            </w:pPr>
            <w:r w:rsidRPr="0028779A">
              <w:rPr>
                <w:rFonts w:ascii="Centaur" w:eastAsia="Avenir Next" w:hAnsi="Centaur" w:cs="Avenir Next"/>
                <w:color w:val="auto"/>
                <w:sz w:val="32"/>
              </w:rPr>
              <w:t>Community-Engaged Learning Course Designation Criteria</w:t>
            </w:r>
          </w:p>
        </w:tc>
      </w:tr>
      <w:tr w:rsidR="00D32942" w:rsidRPr="0028779A" w14:paraId="1BEDEAE6" w14:textId="77777777" w:rsidTr="00D3294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E180EDF" w14:textId="4E7D979A" w:rsidR="5BC97894" w:rsidRPr="0028779A" w:rsidRDefault="5BC97894" w:rsidP="0028779A">
            <w:pPr>
              <w:spacing w:before="20" w:after="100" w:afterAutospacing="1" w:line="259" w:lineRule="auto"/>
              <w:rPr>
                <w:rFonts w:ascii="Centaur" w:hAnsi="Centaur"/>
                <w:sz w:val="28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  <w:t>Designation</w:t>
            </w:r>
          </w:p>
        </w:tc>
        <w:tc>
          <w:tcPr>
            <w:tcW w:w="3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088F6F4" w14:textId="35BC5772" w:rsidR="5BC97894" w:rsidRPr="0028779A" w:rsidRDefault="5BC97894" w:rsidP="0028779A">
            <w:pPr>
              <w:spacing w:before="20" w:after="100" w:afterAutospacing="1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  <w:sz w:val="28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color w:val="000000" w:themeColor="text1"/>
                <w:sz w:val="28"/>
                <w:szCs w:val="21"/>
              </w:rPr>
              <w:t>Possible Types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49FBE74" w14:textId="35EC4B4C" w:rsidR="5BC97894" w:rsidRPr="0028779A" w:rsidRDefault="5BC97894" w:rsidP="0028779A">
            <w:pPr>
              <w:spacing w:before="20" w:after="100" w:afterAutospacing="1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  <w:sz w:val="28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color w:val="000000" w:themeColor="text1"/>
                <w:sz w:val="28"/>
                <w:szCs w:val="21"/>
              </w:rPr>
              <w:t>Criteria</w:t>
            </w:r>
          </w:p>
        </w:tc>
      </w:tr>
      <w:tr w:rsidR="00D32942" w:rsidRPr="0028779A" w14:paraId="5C1D8813" w14:textId="77777777" w:rsidTr="00D32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70AD47" w:themeColor="accent6"/>
              <w:right w:val="single" w:sz="8" w:space="0" w:color="A8D08D" w:themeColor="accent6" w:themeTint="99"/>
            </w:tcBorders>
            <w:vAlign w:val="center"/>
          </w:tcPr>
          <w:p w14:paraId="58345E65" w14:textId="4A5F3575" w:rsidR="5BC97894" w:rsidRPr="0028779A" w:rsidRDefault="0028779A" w:rsidP="0028779A">
            <w:pPr>
              <w:rPr>
                <w:rFonts w:ascii="Centaur" w:hAnsi="Centaur"/>
                <w:sz w:val="36"/>
              </w:rPr>
            </w:pPr>
            <w:r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  <w:t xml:space="preserve">Civic </w:t>
            </w:r>
            <w:r w:rsidR="5BC97894" w:rsidRPr="0028779A"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  <w:t>Learning</w:t>
            </w:r>
          </w:p>
          <w:p w14:paraId="1731378E" w14:textId="5DCDD1E1" w:rsidR="5BC97894" w:rsidRPr="0028779A" w:rsidRDefault="5BC97894" w:rsidP="0028779A">
            <w:pPr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  <w:t>(CL)</w:t>
            </w:r>
          </w:p>
        </w:tc>
        <w:tc>
          <w:tcPr>
            <w:tcW w:w="3865" w:type="dxa"/>
            <w:tcBorders>
              <w:top w:val="single" w:sz="12" w:space="0" w:color="auto"/>
              <w:left w:val="single" w:sz="8" w:space="0" w:color="A8D08D" w:themeColor="accent6" w:themeTint="99"/>
              <w:bottom w:val="nil"/>
              <w:right w:val="single" w:sz="8" w:space="0" w:color="A8D08D" w:themeColor="accent6" w:themeTint="99"/>
            </w:tcBorders>
            <w:vAlign w:val="center"/>
          </w:tcPr>
          <w:p w14:paraId="65701F63" w14:textId="7B2FA85A" w:rsidR="5BC97894" w:rsidRPr="0028779A" w:rsidRDefault="5BC97894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>Civic Foundations</w:t>
            </w:r>
          </w:p>
          <w:p w14:paraId="225F2C72" w14:textId="7723D5A3" w:rsidR="5BC97894" w:rsidRPr="0028779A" w:rsidRDefault="5BC97894" w:rsidP="0087402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Students </w:t>
            </w:r>
            <w:r w:rsidR="00874026">
              <w:rPr>
                <w:rFonts w:ascii="Centaur" w:eastAsia="Avenir Next" w:hAnsi="Centaur" w:cs="Avenir Next"/>
                <w:sz w:val="21"/>
                <w:szCs w:val="21"/>
              </w:rPr>
              <w:t>prepare</w:t>
            </w: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 for civic participation, active citizenship and/or involvement in communities.</w:t>
            </w:r>
          </w:p>
        </w:tc>
        <w:tc>
          <w:tcPr>
            <w:tcW w:w="3950" w:type="dxa"/>
            <w:vMerge w:val="restart"/>
            <w:tcBorders>
              <w:top w:val="single" w:sz="12" w:space="0" w:color="auto"/>
              <w:left w:val="single" w:sz="8" w:space="0" w:color="A8D08D" w:themeColor="accent6" w:themeTint="99"/>
              <w:bottom w:val="single" w:sz="8" w:space="0" w:color="70AD47" w:themeColor="accent6"/>
              <w:right w:val="single" w:sz="12" w:space="0" w:color="auto"/>
            </w:tcBorders>
            <w:vAlign w:val="center"/>
          </w:tcPr>
          <w:p w14:paraId="2EFF2979" w14:textId="7BF6C234" w:rsidR="5BC97894" w:rsidRPr="0028779A" w:rsidRDefault="5BC97894" w:rsidP="00D3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>Credit-bearing course that:</w:t>
            </w:r>
          </w:p>
          <w:p w14:paraId="32473FEF" w14:textId="59D9733E" w:rsidR="5BC97894" w:rsidRPr="00D32942" w:rsidRDefault="5BC97894" w:rsidP="00D32942">
            <w:pPr>
              <w:pStyle w:val="ListParagraph"/>
              <w:numPr>
                <w:ilvl w:val="0"/>
                <w:numId w:val="7"/>
              </w:numPr>
              <w:ind w:left="158" w:hanging="15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Addresses the common good, social inequality and/or environmental sustainability</w:t>
            </w:r>
          </w:p>
          <w:p w14:paraId="70C7B48F" w14:textId="5AF8CAC3" w:rsidR="5BC97894" w:rsidRPr="00D32942" w:rsidRDefault="5BC97894" w:rsidP="00D32942">
            <w:pPr>
              <w:pStyle w:val="ListParagraph"/>
              <w:numPr>
                <w:ilvl w:val="0"/>
                <w:numId w:val="7"/>
              </w:numPr>
              <w:spacing w:before="60"/>
              <w:ind w:left="158" w:hanging="15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Connects the civic or community elements to course learning goals</w:t>
            </w:r>
          </w:p>
          <w:p w14:paraId="1C87DA56" w14:textId="43CAD387" w:rsidR="5BC97894" w:rsidRPr="00D32942" w:rsidRDefault="5BC97894" w:rsidP="00D32942">
            <w:pPr>
              <w:pStyle w:val="ListParagraph"/>
              <w:numPr>
                <w:ilvl w:val="0"/>
                <w:numId w:val="7"/>
              </w:numPr>
              <w:spacing w:before="60"/>
              <w:ind w:left="158" w:hanging="15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 xml:space="preserve">Includes student interpretation </w:t>
            </w:r>
            <w:r w:rsidR="00D32942">
              <w:rPr>
                <w:rFonts w:ascii="Centaur" w:eastAsia="Avenir Next" w:hAnsi="Centaur" w:cs="Avenir Next"/>
                <w:sz w:val="21"/>
                <w:szCs w:val="21"/>
              </w:rPr>
              <w:t>&amp;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 xml:space="preserve"> analysis (</w:t>
            </w:r>
            <w:r w:rsidR="00D32942">
              <w:rPr>
                <w:rFonts w:ascii="Centaur" w:eastAsia="Avenir Next" w:hAnsi="Centaur" w:cs="Avenir Next"/>
                <w:sz w:val="21"/>
                <w:szCs w:val="21"/>
              </w:rPr>
              <w:t>“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critical reflection</w:t>
            </w:r>
            <w:r w:rsidR="00D32942">
              <w:rPr>
                <w:rFonts w:ascii="Centaur" w:eastAsia="Avenir Next" w:hAnsi="Centaur" w:cs="Avenir Next"/>
                <w:sz w:val="21"/>
                <w:szCs w:val="21"/>
              </w:rPr>
              <w:t>”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) of the course</w:t>
            </w:r>
            <w:r w:rsidR="00D32942">
              <w:rPr>
                <w:rFonts w:ascii="Centaur" w:eastAsia="Avenir Next" w:hAnsi="Centaur" w:cs="Avenir Next"/>
                <w:sz w:val="21"/>
                <w:szCs w:val="21"/>
              </w:rPr>
              <w:t>’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s civic or community elements</w:t>
            </w:r>
          </w:p>
          <w:p w14:paraId="4CF77C5B" w14:textId="5CF1CA0F" w:rsidR="5BC97894" w:rsidRPr="00D32942" w:rsidRDefault="5BC97894" w:rsidP="00D32942">
            <w:pPr>
              <w:pStyle w:val="ListParagraph"/>
              <w:numPr>
                <w:ilvl w:val="0"/>
                <w:numId w:val="7"/>
              </w:numPr>
              <w:spacing w:before="60"/>
              <w:ind w:left="158" w:hanging="15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eastAsia="Avenir Next" w:hAnsi="Centaur" w:cs="Avenir Next"/>
                <w:sz w:val="21"/>
                <w:szCs w:val="21"/>
              </w:rPr>
            </w:pP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 xml:space="preserve">Bases assessment on demonstration of learning, not </w:t>
            </w:r>
            <w:r w:rsidR="140D4673" w:rsidRPr="00D32942">
              <w:rPr>
                <w:rFonts w:ascii="Centaur" w:eastAsia="Avenir Next" w:hAnsi="Centaur" w:cs="Avenir Next"/>
                <w:sz w:val="21"/>
                <w:szCs w:val="21"/>
              </w:rPr>
              <w:t xml:space="preserve">solely 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completion of service or project tasks (if applicable)</w:t>
            </w:r>
          </w:p>
        </w:tc>
      </w:tr>
      <w:tr w:rsidR="5BC97894" w:rsidRPr="0028779A" w14:paraId="188546BF" w14:textId="77777777" w:rsidTr="00D32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0" w:space="0" w:color="A8D08D" w:themeColor="accent6" w:themeTint="99"/>
            </w:tcBorders>
            <w:vAlign w:val="center"/>
          </w:tcPr>
          <w:p w14:paraId="62DEF088" w14:textId="77777777" w:rsidR="00FC107B" w:rsidRPr="0028779A" w:rsidRDefault="00FC107B">
            <w:pPr>
              <w:rPr>
                <w:rFonts w:ascii="Centaur" w:hAnsi="Centaur"/>
              </w:rPr>
            </w:pPr>
          </w:p>
        </w:tc>
        <w:tc>
          <w:tcPr>
            <w:tcW w:w="3865" w:type="dxa"/>
            <w:tcBorders>
              <w:top w:val="single" w:sz="8" w:space="0" w:color="70AD47" w:themeColor="accent6"/>
              <w:left w:val="nil"/>
              <w:bottom w:val="single" w:sz="8" w:space="0" w:color="70AD47" w:themeColor="accent6"/>
              <w:right w:val="single" w:sz="8" w:space="0" w:color="A8D08D" w:themeColor="accent6" w:themeTint="99"/>
            </w:tcBorders>
            <w:vAlign w:val="center"/>
          </w:tcPr>
          <w:p w14:paraId="45478675" w14:textId="1EB6734F" w:rsidR="5BC97894" w:rsidRPr="0028779A" w:rsidRDefault="5BC97894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>Community Exploration</w:t>
            </w:r>
          </w:p>
          <w:p w14:paraId="3DB89BC4" w14:textId="538E166E" w:rsidR="5BC97894" w:rsidRPr="0028779A" w:rsidRDefault="5BC97894" w:rsidP="00D3294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Students are introduced to specific communities, observe or participate in a community, and/or explore place-based cases of broader issues. </w:t>
            </w:r>
          </w:p>
        </w:tc>
        <w:tc>
          <w:tcPr>
            <w:tcW w:w="3950" w:type="dxa"/>
            <w:vMerge/>
            <w:tcBorders>
              <w:left w:val="single" w:sz="0" w:space="0" w:color="A8D08D" w:themeColor="accent6" w:themeTint="99"/>
              <w:right w:val="single" w:sz="12" w:space="0" w:color="auto"/>
            </w:tcBorders>
            <w:vAlign w:val="center"/>
          </w:tcPr>
          <w:p w14:paraId="7465EBAD" w14:textId="77777777" w:rsidR="00FC107B" w:rsidRPr="0028779A" w:rsidRDefault="00FC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</w:p>
        </w:tc>
      </w:tr>
      <w:tr w:rsidR="00D32942" w:rsidRPr="0028779A" w14:paraId="01CA278B" w14:textId="77777777" w:rsidTr="00D32942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0" w:space="0" w:color="auto"/>
              <w:left w:val="single" w:sz="12" w:space="0" w:color="auto"/>
              <w:bottom w:val="single" w:sz="12" w:space="0" w:color="auto"/>
              <w:right w:val="single" w:sz="0" w:space="0" w:color="A8D08D" w:themeColor="accent6" w:themeTint="99"/>
            </w:tcBorders>
            <w:vAlign w:val="center"/>
          </w:tcPr>
          <w:p w14:paraId="3F295E4B" w14:textId="77777777" w:rsidR="00FC107B" w:rsidRPr="0028779A" w:rsidRDefault="00FC107B">
            <w:pPr>
              <w:rPr>
                <w:rFonts w:ascii="Centaur" w:hAnsi="Centaur"/>
              </w:rPr>
            </w:pPr>
          </w:p>
        </w:tc>
        <w:tc>
          <w:tcPr>
            <w:tcW w:w="3865" w:type="dxa"/>
            <w:tcBorders>
              <w:top w:val="single" w:sz="8" w:space="0" w:color="70AD47" w:themeColor="accent6"/>
              <w:left w:val="nil"/>
              <w:bottom w:val="single" w:sz="12" w:space="0" w:color="auto"/>
              <w:right w:val="single" w:sz="8" w:space="0" w:color="A8D08D" w:themeColor="accent6" w:themeTint="99"/>
            </w:tcBorders>
            <w:vAlign w:val="center"/>
          </w:tcPr>
          <w:p w14:paraId="5A3296E5" w14:textId="7BBFC71C" w:rsidR="5BC97894" w:rsidRPr="0028779A" w:rsidRDefault="00775ABA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 xml:space="preserve">UVM </w:t>
            </w:r>
            <w:r w:rsidR="5BC97894" w:rsidRPr="0028779A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 xml:space="preserve">Partnership </w:t>
            </w:r>
            <w:r w:rsidR="00D32942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>&amp;</w:t>
            </w:r>
            <w:r w:rsidR="5BC97894" w:rsidRPr="0028779A">
              <w:rPr>
                <w:rFonts w:ascii="Centaur" w:eastAsia="Avenir Next" w:hAnsi="Centaur" w:cs="Avenir Next"/>
                <w:b/>
                <w:bCs/>
                <w:sz w:val="21"/>
                <w:szCs w:val="21"/>
              </w:rPr>
              <w:t xml:space="preserve"> Service</w:t>
            </w:r>
          </w:p>
          <w:p w14:paraId="6A921C74" w14:textId="7B59E6D9" w:rsidR="5BC97894" w:rsidRPr="0028779A" w:rsidRDefault="5BC97894" w:rsidP="00D3294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The course engages directly with 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UVM-based partners</w:t>
            </w: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 with projects or service, </w:t>
            </w:r>
            <w:r w:rsidR="00D32942">
              <w:rPr>
                <w:rFonts w:ascii="Centaur" w:eastAsia="Avenir Next" w:hAnsi="Centaur" w:cs="Avenir Next"/>
                <w:sz w:val="21"/>
                <w:szCs w:val="21"/>
              </w:rPr>
              <w:t>and/o</w:t>
            </w: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r includes </w:t>
            </w:r>
            <w:r w:rsidRPr="00D32942">
              <w:rPr>
                <w:rFonts w:ascii="Centaur" w:eastAsia="Avenir Next" w:hAnsi="Centaur" w:cs="Avenir Next"/>
                <w:sz w:val="21"/>
                <w:szCs w:val="21"/>
              </w:rPr>
              <w:t>small-scale</w:t>
            </w:r>
            <w:r w:rsidRPr="0028779A">
              <w:rPr>
                <w:rFonts w:ascii="Centaur" w:eastAsia="Avenir Next" w:hAnsi="Centaur" w:cs="Avenir Next"/>
                <w:sz w:val="21"/>
                <w:szCs w:val="21"/>
              </w:rPr>
              <w:t xml:space="preserve"> off-campus service.</w:t>
            </w:r>
          </w:p>
        </w:tc>
        <w:tc>
          <w:tcPr>
            <w:tcW w:w="3950" w:type="dxa"/>
            <w:vMerge/>
            <w:tcBorders>
              <w:top w:val="single" w:sz="0" w:space="0" w:color="auto"/>
              <w:left w:val="single" w:sz="0" w:space="0" w:color="A8D08D" w:themeColor="accent6" w:themeTint="99"/>
              <w:bottom w:val="single" w:sz="12" w:space="0" w:color="auto"/>
              <w:right w:val="single" w:sz="12" w:space="0" w:color="auto"/>
            </w:tcBorders>
            <w:vAlign w:val="center"/>
          </w:tcPr>
          <w:p w14:paraId="495CD611" w14:textId="77777777" w:rsidR="00FC107B" w:rsidRPr="0028779A" w:rsidRDefault="00FC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</w:p>
        </w:tc>
      </w:tr>
    </w:tbl>
    <w:p w14:paraId="1F294EC6" w14:textId="5B606BE4" w:rsidR="2BE0146E" w:rsidRPr="00D32942" w:rsidRDefault="33086D36" w:rsidP="00D32942">
      <w:pPr>
        <w:spacing w:after="0" w:line="240" w:lineRule="exact"/>
        <w:rPr>
          <w:rFonts w:ascii="Centaur" w:hAnsi="Centaur"/>
          <w:sz w:val="18"/>
        </w:rPr>
      </w:pPr>
      <w:r w:rsidRPr="00D32942">
        <w:rPr>
          <w:rFonts w:ascii="Centaur" w:eastAsia="Avenir Next" w:hAnsi="Centaur" w:cs="Avenir Next"/>
          <w:b/>
          <w:bCs/>
          <w:color w:val="000000" w:themeColor="text1"/>
          <w:sz w:val="18"/>
        </w:rPr>
        <w:t xml:space="preserve"> </w:t>
      </w:r>
    </w:p>
    <w:tbl>
      <w:tblPr>
        <w:tblStyle w:val="ListTable3-Accent6"/>
        <w:tblW w:w="9360" w:type="dxa"/>
        <w:tblInd w:w="165" w:type="dxa"/>
        <w:tblLayout w:type="fixed"/>
        <w:tblLook w:val="06A0" w:firstRow="1" w:lastRow="0" w:firstColumn="1" w:lastColumn="0" w:noHBand="1" w:noVBand="1"/>
      </w:tblPr>
      <w:tblGrid>
        <w:gridCol w:w="1530"/>
        <w:gridCol w:w="2790"/>
        <w:gridCol w:w="5040"/>
      </w:tblGrid>
      <w:tr w:rsidR="0028779A" w:rsidRPr="0028779A" w14:paraId="5F04FFD2" w14:textId="77777777" w:rsidTr="00D3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F5D7B69" w14:textId="76DC53BB" w:rsidR="5BC97894" w:rsidRPr="0028779A" w:rsidRDefault="5BC97894" w:rsidP="0028779A">
            <w:pPr>
              <w:spacing w:before="20" w:after="100" w:afterAutospacing="1" w:line="259" w:lineRule="auto"/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  <w:t>Designation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5BE30D0" w14:textId="26E09C5B" w:rsidR="5BC97894" w:rsidRPr="0028779A" w:rsidRDefault="5BC97894" w:rsidP="0028779A">
            <w:pPr>
              <w:spacing w:before="20" w:after="100" w:afterAutospacing="1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  <w:t>Possible Types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ACC82E4" w14:textId="5AFE3D75" w:rsidR="5BC97894" w:rsidRPr="0028779A" w:rsidRDefault="5BC97894" w:rsidP="0028779A">
            <w:pPr>
              <w:spacing w:before="20" w:after="100" w:afterAutospacing="1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8"/>
                <w:szCs w:val="21"/>
              </w:rPr>
              <w:t>Criteria</w:t>
            </w:r>
          </w:p>
        </w:tc>
      </w:tr>
      <w:tr w:rsidR="5BC97894" w:rsidRPr="0028779A" w14:paraId="7A273AFC" w14:textId="77777777" w:rsidTr="00D32942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A6763C2" w14:textId="44D4DFC0" w:rsidR="5BC97894" w:rsidRPr="0028779A" w:rsidRDefault="5BC97894" w:rsidP="0028779A">
            <w:pPr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  <w:t>Service Learning</w:t>
            </w:r>
          </w:p>
          <w:p w14:paraId="1E10918E" w14:textId="595EFE13" w:rsidR="5BC97894" w:rsidRPr="0028779A" w:rsidRDefault="5BC97894" w:rsidP="0028779A">
            <w:pPr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32"/>
                <w:szCs w:val="21"/>
              </w:rPr>
              <w:t>(SL)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8D08D" w:themeColor="accent6" w:themeTint="99"/>
              <w:bottom w:val="single" w:sz="8" w:space="0" w:color="70AD47" w:themeColor="accent6"/>
              <w:right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4CBB461A" w14:textId="19782FA8" w:rsidR="5BC97894" w:rsidRPr="0028779A" w:rsidRDefault="5BC97894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color w:val="000000" w:themeColor="text1"/>
                <w:sz w:val="21"/>
                <w:szCs w:val="21"/>
              </w:rPr>
              <w:t>Direct &amp; Indirect Service</w:t>
            </w:r>
          </w:p>
          <w:p w14:paraId="7F59F5C9" w14:textId="6C41657C" w:rsidR="5BC97894" w:rsidRPr="0028779A" w:rsidRDefault="5BC97894" w:rsidP="00D3294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Students engage directly with organizations’ served populations or provide other services. </w:t>
            </w:r>
          </w:p>
        </w:tc>
        <w:tc>
          <w:tcPr>
            <w:tcW w:w="5040" w:type="dxa"/>
            <w:vMerge w:val="restart"/>
            <w:tcBorders>
              <w:top w:val="single" w:sz="12" w:space="0" w:color="auto"/>
              <w:left w:val="single" w:sz="8" w:space="0" w:color="A8D08D" w:themeColor="accent6" w:themeTint="99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81FBF7" w14:textId="08034EEF" w:rsidR="5BC97894" w:rsidRPr="0028779A" w:rsidRDefault="5BC97894" w:rsidP="00D3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Credit-bearing course that:</w:t>
            </w:r>
          </w:p>
          <w:p w14:paraId="6417BE24" w14:textId="4BD147E3" w:rsidR="5BC97894" w:rsidRPr="00D32942" w:rsidRDefault="5BC97894" w:rsidP="00D32942">
            <w:pPr>
              <w:pStyle w:val="ListParagraph"/>
              <w:numPr>
                <w:ilvl w:val="0"/>
                <w:numId w:val="8"/>
              </w:numPr>
              <w:spacing w:before="60"/>
              <w:ind w:left="173" w:hanging="17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Addresses the role of the discipline in relationship to the common good, social inequality, and/or environmental sustainability</w:t>
            </w:r>
          </w:p>
          <w:p w14:paraId="6C8C0A55" w14:textId="748056DE" w:rsidR="5BC97894" w:rsidRPr="00D32942" w:rsidRDefault="5BC97894" w:rsidP="00D32942">
            <w:pPr>
              <w:pStyle w:val="ListParagraph"/>
              <w:numPr>
                <w:ilvl w:val="0"/>
                <w:numId w:val="8"/>
              </w:numPr>
              <w:spacing w:before="60"/>
              <w:ind w:left="166" w:hanging="16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Includes a significant community-engaged component that responds to community goals 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&amp;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 priorities, as identif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ied by the community partner – and 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which is tied to the course learning outcomes</w:t>
            </w:r>
          </w:p>
          <w:p w14:paraId="1A3E9D3C" w14:textId="388CD704" w:rsidR="5BC97894" w:rsidRPr="00D32942" w:rsidRDefault="5BC97894" w:rsidP="00D32942">
            <w:pPr>
              <w:pStyle w:val="ListParagraph"/>
              <w:numPr>
                <w:ilvl w:val="0"/>
                <w:numId w:val="8"/>
              </w:numPr>
              <w:spacing w:before="60"/>
              <w:ind w:left="166" w:hanging="16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Includes stud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ent interpretation &amp; analysis (“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critical reflection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”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) 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of the course’s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 community-engaged activities</w:t>
            </w:r>
          </w:p>
          <w:p w14:paraId="478091BA" w14:textId="17FC2860" w:rsidR="5BC97894" w:rsidRPr="00D32942" w:rsidRDefault="5BC97894" w:rsidP="00D32942">
            <w:pPr>
              <w:pStyle w:val="ListParagraph"/>
              <w:numPr>
                <w:ilvl w:val="0"/>
                <w:numId w:val="8"/>
              </w:numPr>
              <w:spacing w:before="60"/>
              <w:ind w:left="166" w:hanging="16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Bases assessment on demonstration of learning </w:t>
            </w:r>
            <w:r w:rsid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&amp;</w:t>
            </w:r>
            <w:r w:rsidRPr="00D32942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 xml:space="preserve"> caliber of work, not solely on completion of service or project tasks</w:t>
            </w:r>
          </w:p>
        </w:tc>
      </w:tr>
      <w:tr w:rsidR="5BC97894" w:rsidRPr="0028779A" w14:paraId="37DD5C26" w14:textId="77777777" w:rsidTr="00D32942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left w:val="single" w:sz="12" w:space="0" w:color="auto"/>
              <w:right w:val="single" w:sz="0" w:space="0" w:color="A8D08D" w:themeColor="accent6" w:themeTint="99"/>
            </w:tcBorders>
            <w:vAlign w:val="center"/>
          </w:tcPr>
          <w:p w14:paraId="649F6F76" w14:textId="77777777" w:rsidR="00FC107B" w:rsidRPr="0028779A" w:rsidRDefault="00FC107B">
            <w:pPr>
              <w:rPr>
                <w:rFonts w:ascii="Centaur" w:hAnsi="Centaur"/>
              </w:rPr>
            </w:pPr>
          </w:p>
        </w:tc>
        <w:tc>
          <w:tcPr>
            <w:tcW w:w="2790" w:type="dxa"/>
            <w:tcBorders>
              <w:top w:val="single" w:sz="8" w:space="0" w:color="70AD47" w:themeColor="accent6"/>
              <w:left w:val="nil"/>
              <w:bottom w:val="nil"/>
              <w:right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2DE712AF" w14:textId="3BC59D5E" w:rsidR="5BC97894" w:rsidRPr="0028779A" w:rsidRDefault="5BC97894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color w:val="000000" w:themeColor="text1"/>
                <w:sz w:val="21"/>
                <w:szCs w:val="21"/>
              </w:rPr>
              <w:t>Project / Consultant Model</w:t>
            </w:r>
          </w:p>
          <w:p w14:paraId="1AD4F0B5" w14:textId="10FF29F1" w:rsidR="5BC97894" w:rsidRPr="0028779A" w:rsidRDefault="5BC97894" w:rsidP="00D3294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Students produce deliverables for a community partner.</w:t>
            </w:r>
          </w:p>
        </w:tc>
        <w:tc>
          <w:tcPr>
            <w:tcW w:w="5040" w:type="dxa"/>
            <w:vMerge/>
            <w:tcBorders>
              <w:left w:val="single" w:sz="0" w:space="0" w:color="A8D08D" w:themeColor="accent6" w:themeTint="99"/>
              <w:right w:val="single" w:sz="12" w:space="0" w:color="auto"/>
            </w:tcBorders>
            <w:vAlign w:val="center"/>
          </w:tcPr>
          <w:p w14:paraId="5AA9E0BD" w14:textId="77777777" w:rsidR="00FC107B" w:rsidRPr="0028779A" w:rsidRDefault="00FC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</w:p>
        </w:tc>
      </w:tr>
      <w:tr w:rsidR="00D32942" w:rsidRPr="0028779A" w14:paraId="1B5966AE" w14:textId="77777777" w:rsidTr="00D32942">
        <w:trPr>
          <w:trHeight w:val="1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Merge/>
            <w:tcBorders>
              <w:top w:val="single" w:sz="0" w:space="0" w:color="auto"/>
              <w:left w:val="single" w:sz="12" w:space="0" w:color="auto"/>
              <w:bottom w:val="single" w:sz="12" w:space="0" w:color="auto"/>
              <w:right w:val="single" w:sz="0" w:space="0" w:color="A8D08D" w:themeColor="accent6" w:themeTint="99"/>
            </w:tcBorders>
            <w:vAlign w:val="center"/>
          </w:tcPr>
          <w:p w14:paraId="7E4D19B6" w14:textId="77777777" w:rsidR="00FC107B" w:rsidRPr="0028779A" w:rsidRDefault="00FC107B">
            <w:pPr>
              <w:rPr>
                <w:rFonts w:ascii="Centaur" w:hAnsi="Centaur"/>
              </w:rPr>
            </w:pPr>
          </w:p>
        </w:tc>
        <w:tc>
          <w:tcPr>
            <w:tcW w:w="2790" w:type="dxa"/>
            <w:tcBorders>
              <w:top w:val="single" w:sz="8" w:space="0" w:color="70AD47" w:themeColor="accent6"/>
              <w:left w:val="nil"/>
              <w:bottom w:val="single" w:sz="12" w:space="0" w:color="auto"/>
              <w:right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75C001E" w14:textId="7B2E4D3C" w:rsidR="5BC97894" w:rsidRPr="0028779A" w:rsidRDefault="5BC97894" w:rsidP="00D3294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b/>
                <w:bCs/>
                <w:color w:val="000000" w:themeColor="text1"/>
                <w:sz w:val="21"/>
                <w:szCs w:val="21"/>
              </w:rPr>
              <w:t>Community-Based Research</w:t>
            </w:r>
          </w:p>
          <w:p w14:paraId="27C070F7" w14:textId="5A0E159E" w:rsidR="5BC97894" w:rsidRPr="0028779A" w:rsidRDefault="5BC97894" w:rsidP="00D3294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  <w:r w:rsidRPr="0028779A">
              <w:rPr>
                <w:rFonts w:ascii="Centaur" w:eastAsia="Avenir Next" w:hAnsi="Centaur" w:cs="Avenir Next"/>
                <w:color w:val="000000" w:themeColor="text1"/>
                <w:sz w:val="21"/>
                <w:szCs w:val="21"/>
              </w:rPr>
              <w:t>Students engage in research driven by a community partner’s priorities.</w:t>
            </w:r>
          </w:p>
        </w:tc>
        <w:tc>
          <w:tcPr>
            <w:tcW w:w="5040" w:type="dxa"/>
            <w:vMerge/>
            <w:tcBorders>
              <w:top w:val="single" w:sz="0" w:space="0" w:color="auto"/>
              <w:left w:val="single" w:sz="0" w:space="0" w:color="A8D08D" w:themeColor="accent6" w:themeTint="99"/>
              <w:bottom w:val="single" w:sz="12" w:space="0" w:color="auto"/>
              <w:right w:val="single" w:sz="12" w:space="0" w:color="auto"/>
            </w:tcBorders>
            <w:vAlign w:val="center"/>
          </w:tcPr>
          <w:p w14:paraId="310CECEC" w14:textId="77777777" w:rsidR="00FC107B" w:rsidRPr="0028779A" w:rsidRDefault="00FC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aur" w:hAnsi="Centaur"/>
              </w:rPr>
            </w:pPr>
          </w:p>
        </w:tc>
      </w:tr>
    </w:tbl>
    <w:p w14:paraId="0240374E" w14:textId="2D32D3D9" w:rsidR="2BE0146E" w:rsidRPr="0028779A" w:rsidRDefault="2BE0146E" w:rsidP="5BC97894">
      <w:pPr>
        <w:spacing w:line="240" w:lineRule="exact"/>
        <w:rPr>
          <w:rFonts w:ascii="Centaur" w:eastAsia="Avenir Next" w:hAnsi="Centaur" w:cs="Avenir Next"/>
          <w:color w:val="000000" w:themeColor="text1"/>
        </w:rPr>
      </w:pPr>
    </w:p>
    <w:p w14:paraId="6D30ED2B" w14:textId="7BEE29AF" w:rsidR="2BE0146E" w:rsidRPr="0028779A" w:rsidRDefault="2BE0146E" w:rsidP="5BC97894">
      <w:pPr>
        <w:rPr>
          <w:rFonts w:ascii="Centaur" w:eastAsia="Avenir Next LT Pro" w:hAnsi="Centaur" w:cs="Avenir Next LT Pro"/>
          <w:b/>
          <w:bCs/>
        </w:rPr>
      </w:pPr>
    </w:p>
    <w:p w14:paraId="1ECBE27A" w14:textId="6355EE59" w:rsidR="2BE0146E" w:rsidRPr="0028779A" w:rsidRDefault="2BE0146E" w:rsidP="2BE0146E">
      <w:pPr>
        <w:rPr>
          <w:rFonts w:ascii="Centaur" w:eastAsia="Avenir Next LT Pro" w:hAnsi="Centaur" w:cs="Avenir Next LT Pro"/>
          <w:b/>
          <w:bCs/>
        </w:rPr>
      </w:pPr>
    </w:p>
    <w:sectPr w:rsidR="2BE0146E" w:rsidRPr="0028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2098"/>
    <w:multiLevelType w:val="hybridMultilevel"/>
    <w:tmpl w:val="61E038F0"/>
    <w:lvl w:ilvl="0" w:tplc="A64AE4A4">
      <w:numFmt w:val="bullet"/>
      <w:lvlText w:val="·"/>
      <w:lvlJc w:val="left"/>
      <w:pPr>
        <w:ind w:left="720" w:hanging="360"/>
      </w:pPr>
      <w:rPr>
        <w:rFonts w:ascii="Cambria" w:eastAsia="Symbol" w:hAnsi="Cambria" w:cs="Cambri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53CA"/>
    <w:multiLevelType w:val="hybridMultilevel"/>
    <w:tmpl w:val="EC087CBE"/>
    <w:lvl w:ilvl="0" w:tplc="B8702F24">
      <w:numFmt w:val="bullet"/>
      <w:lvlText w:val="·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63F7"/>
    <w:multiLevelType w:val="hybridMultilevel"/>
    <w:tmpl w:val="054C7412"/>
    <w:lvl w:ilvl="0" w:tplc="B8702F24">
      <w:numFmt w:val="bullet"/>
      <w:lvlText w:val="·"/>
      <w:lvlJc w:val="left"/>
      <w:pPr>
        <w:ind w:left="1080" w:hanging="360"/>
      </w:pPr>
      <w:rPr>
        <w:rFonts w:ascii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90FAA"/>
    <w:multiLevelType w:val="hybridMultilevel"/>
    <w:tmpl w:val="381E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DB2"/>
    <w:multiLevelType w:val="hybridMultilevel"/>
    <w:tmpl w:val="139A758A"/>
    <w:lvl w:ilvl="0" w:tplc="A2E2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4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69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A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B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46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48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02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49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30A4E"/>
    <w:multiLevelType w:val="hybridMultilevel"/>
    <w:tmpl w:val="FDAC4B04"/>
    <w:lvl w:ilvl="0" w:tplc="4CB2B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AC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4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8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88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CD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D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0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59B"/>
    <w:multiLevelType w:val="hybridMultilevel"/>
    <w:tmpl w:val="29E21EC2"/>
    <w:lvl w:ilvl="0" w:tplc="6454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49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6B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A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41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6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AC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A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8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4E88"/>
    <w:multiLevelType w:val="hybridMultilevel"/>
    <w:tmpl w:val="FB185214"/>
    <w:lvl w:ilvl="0" w:tplc="39E8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6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0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6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A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A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29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C6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A407C"/>
    <w:rsid w:val="0028779A"/>
    <w:rsid w:val="00775ABA"/>
    <w:rsid w:val="007F6E27"/>
    <w:rsid w:val="00874026"/>
    <w:rsid w:val="00D32942"/>
    <w:rsid w:val="00E8301F"/>
    <w:rsid w:val="00FC107B"/>
    <w:rsid w:val="0490C81F"/>
    <w:rsid w:val="0670607F"/>
    <w:rsid w:val="06B22B11"/>
    <w:rsid w:val="078FA587"/>
    <w:rsid w:val="07D4B7D6"/>
    <w:rsid w:val="088B7164"/>
    <w:rsid w:val="08B43E4E"/>
    <w:rsid w:val="0B456539"/>
    <w:rsid w:val="0BD2B6B3"/>
    <w:rsid w:val="0ECE7CFC"/>
    <w:rsid w:val="106D9E0E"/>
    <w:rsid w:val="140D4673"/>
    <w:rsid w:val="14299D08"/>
    <w:rsid w:val="148DC38C"/>
    <w:rsid w:val="185C36E5"/>
    <w:rsid w:val="1935946B"/>
    <w:rsid w:val="1C0F7F0B"/>
    <w:rsid w:val="1CDC9D70"/>
    <w:rsid w:val="1D45E0F7"/>
    <w:rsid w:val="211A946F"/>
    <w:rsid w:val="2602C133"/>
    <w:rsid w:val="2896C143"/>
    <w:rsid w:val="2BE0146E"/>
    <w:rsid w:val="2E8A407C"/>
    <w:rsid w:val="30604923"/>
    <w:rsid w:val="31712F87"/>
    <w:rsid w:val="327366E7"/>
    <w:rsid w:val="32A2608A"/>
    <w:rsid w:val="33086D36"/>
    <w:rsid w:val="3F053C2E"/>
    <w:rsid w:val="3FF6C127"/>
    <w:rsid w:val="4261EDE7"/>
    <w:rsid w:val="44E01891"/>
    <w:rsid w:val="45AEE47A"/>
    <w:rsid w:val="492FB35E"/>
    <w:rsid w:val="4CB8CB21"/>
    <w:rsid w:val="4E549B82"/>
    <w:rsid w:val="4F8AE00E"/>
    <w:rsid w:val="4FB916A7"/>
    <w:rsid w:val="51219CE6"/>
    <w:rsid w:val="51F8155A"/>
    <w:rsid w:val="55327D19"/>
    <w:rsid w:val="5BC97894"/>
    <w:rsid w:val="5C2A322E"/>
    <w:rsid w:val="5EF628DB"/>
    <w:rsid w:val="66FD612F"/>
    <w:rsid w:val="6785870F"/>
    <w:rsid w:val="68B9D49D"/>
    <w:rsid w:val="68C1C51C"/>
    <w:rsid w:val="6CBB5444"/>
    <w:rsid w:val="6D3A7569"/>
    <w:rsid w:val="6DF6D97C"/>
    <w:rsid w:val="71B239A9"/>
    <w:rsid w:val="726B26B8"/>
    <w:rsid w:val="73D622BB"/>
    <w:rsid w:val="7A8A1A19"/>
    <w:rsid w:val="7EC99408"/>
    <w:rsid w:val="7F90D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407C"/>
  <w15:chartTrackingRefBased/>
  <w15:docId w15:val="{3C2ADAAB-99CD-4693-8605-757AFE0C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613E19B22904889D8056131F491FA" ma:contentTypeVersion="6" ma:contentTypeDescription="Create a new document." ma:contentTypeScope="" ma:versionID="8411dd914f82f91b7415b8a2aa4a5b38">
  <xsd:schema xmlns:xsd="http://www.w3.org/2001/XMLSchema" xmlns:xs="http://www.w3.org/2001/XMLSchema" xmlns:p="http://schemas.microsoft.com/office/2006/metadata/properties" xmlns:ns2="f0fe7f7d-3cf5-436e-b266-bdaa4c0710ad" targetNamespace="http://schemas.microsoft.com/office/2006/metadata/properties" ma:root="true" ma:fieldsID="5ab856616b0f58e338485262510b6c81" ns2:_="">
    <xsd:import namespace="f0fe7f7d-3cf5-436e-b266-bdaa4c071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7f7d-3cf5-436e-b266-bdaa4c071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42888-D77F-44BC-AF41-BD115D956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D4743-1F06-41BF-88BA-CDCC7203B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7DC4E-AC43-4AF1-91F0-4A122C55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7f7d-3cf5-436e-b266-bdaa4c071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32636-604A-4D72-A750-4C32C97B2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Munkres</dc:creator>
  <cp:keywords/>
  <dc:description/>
  <cp:lastModifiedBy>Susan Munkres</cp:lastModifiedBy>
  <cp:revision>2</cp:revision>
  <dcterms:created xsi:type="dcterms:W3CDTF">2021-11-09T18:58:00Z</dcterms:created>
  <dcterms:modified xsi:type="dcterms:W3CDTF">2021-11-09T18:58:00Z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0x01010072C613E19B22904889D8056131F491FA</vt:lpwstr>
  </property>
</Properties>
</file>