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E6CA0" w14:textId="0271701F" w:rsidR="001365D6" w:rsidRPr="00C60F7B" w:rsidRDefault="006A0650">
      <w:pPr>
        <w:rPr>
          <w:rFonts w:ascii="Cambria" w:hAnsi="Cambria" w:cs="Calibri"/>
          <w:color w:val="000000" w:themeColor="text1"/>
          <w:u w:val="single"/>
        </w:rPr>
      </w:pPr>
      <w:bookmarkStart w:id="0" w:name="_GoBack"/>
      <w:bookmarkEnd w:id="0"/>
      <w:r w:rsidRPr="00C60F7B">
        <w:rPr>
          <w:rFonts w:ascii="Cambria" w:hAnsi="Cambria" w:cs="Calibri"/>
          <w:color w:val="000000" w:themeColor="text1"/>
          <w:u w:val="single"/>
        </w:rPr>
        <w:t>DCRC</w:t>
      </w:r>
      <w:r w:rsidR="001365D6" w:rsidRPr="00C60F7B">
        <w:rPr>
          <w:rFonts w:ascii="Cambria" w:hAnsi="Cambria" w:cs="Calibri"/>
          <w:color w:val="000000" w:themeColor="text1"/>
          <w:u w:val="single"/>
        </w:rPr>
        <w:t xml:space="preserve"> Periodic Review </w:t>
      </w:r>
      <w:r w:rsidR="00615727" w:rsidRPr="00C60F7B">
        <w:rPr>
          <w:rFonts w:ascii="Cambria" w:hAnsi="Cambria" w:cs="Calibri"/>
          <w:color w:val="000000" w:themeColor="text1"/>
          <w:u w:val="single"/>
        </w:rPr>
        <w:t>Purpose and Intent</w:t>
      </w:r>
    </w:p>
    <w:p w14:paraId="3FC58CFB" w14:textId="0ED2D500" w:rsidR="000D0E0A" w:rsidRPr="00C60F7B" w:rsidRDefault="00FB09B5">
      <w:pPr>
        <w:rPr>
          <w:rFonts w:ascii="Cambria" w:hAnsi="Cambria" w:cs="Calibri"/>
          <w:color w:val="000000" w:themeColor="text1"/>
          <w:highlight w:val="yellow"/>
        </w:rPr>
      </w:pPr>
      <w:r w:rsidRPr="00C60F7B">
        <w:rPr>
          <w:rFonts w:ascii="Cambria" w:hAnsi="Cambria" w:cs="Calibri"/>
          <w:color w:val="000000" w:themeColor="text1"/>
        </w:rPr>
        <w:t xml:space="preserve">Purpose and Intent: The </w:t>
      </w:r>
      <w:r w:rsidR="006A0650" w:rsidRPr="00C60F7B">
        <w:rPr>
          <w:rFonts w:ascii="Cambria" w:hAnsi="Cambria" w:cs="Calibri"/>
          <w:color w:val="000000" w:themeColor="text1"/>
        </w:rPr>
        <w:t>Diversity</w:t>
      </w:r>
      <w:r w:rsidRPr="00C60F7B">
        <w:rPr>
          <w:rFonts w:ascii="Cambria" w:hAnsi="Cambria" w:cs="Calibri"/>
          <w:color w:val="000000" w:themeColor="text1"/>
        </w:rPr>
        <w:t xml:space="preserve"> Curricular Review Committee (</w:t>
      </w:r>
      <w:r w:rsidR="006A0650" w:rsidRPr="00C60F7B">
        <w:rPr>
          <w:rFonts w:ascii="Cambria" w:hAnsi="Cambria" w:cs="Calibri"/>
          <w:color w:val="000000" w:themeColor="text1"/>
        </w:rPr>
        <w:t>D</w:t>
      </w:r>
      <w:r w:rsidRPr="00C60F7B">
        <w:rPr>
          <w:rFonts w:ascii="Cambria" w:hAnsi="Cambria" w:cs="Calibri"/>
          <w:color w:val="000000" w:themeColor="text1"/>
        </w:rPr>
        <w:t>CRC) undertakes periodic review of “</w:t>
      </w:r>
      <w:r w:rsidR="006A0650" w:rsidRPr="00C60F7B">
        <w:rPr>
          <w:rFonts w:ascii="Cambria" w:hAnsi="Cambria" w:cs="Calibri"/>
          <w:color w:val="000000" w:themeColor="text1"/>
        </w:rPr>
        <w:t>D1</w:t>
      </w:r>
      <w:r w:rsidRPr="00C60F7B">
        <w:rPr>
          <w:rFonts w:ascii="Cambria" w:hAnsi="Cambria" w:cs="Calibri"/>
          <w:color w:val="000000" w:themeColor="text1"/>
        </w:rPr>
        <w:t>”</w:t>
      </w:r>
      <w:r w:rsidR="006A0650" w:rsidRPr="00C60F7B">
        <w:rPr>
          <w:rFonts w:ascii="Cambria" w:hAnsi="Cambria" w:cs="Calibri"/>
          <w:color w:val="000000" w:themeColor="text1"/>
        </w:rPr>
        <w:t xml:space="preserve"> and “D2”</w:t>
      </w:r>
      <w:r w:rsidRPr="00C60F7B">
        <w:rPr>
          <w:rFonts w:ascii="Cambria" w:hAnsi="Cambria" w:cs="Calibri"/>
          <w:color w:val="000000" w:themeColor="text1"/>
        </w:rPr>
        <w:t xml:space="preserve"> -</w:t>
      </w:r>
      <w:r w:rsidR="006A0650" w:rsidRPr="00C60F7B">
        <w:rPr>
          <w:rFonts w:ascii="Cambria" w:hAnsi="Cambria" w:cs="Calibri"/>
          <w:color w:val="000000" w:themeColor="text1"/>
        </w:rPr>
        <w:t xml:space="preserve"> </w:t>
      </w:r>
      <w:r w:rsidRPr="00C60F7B">
        <w:rPr>
          <w:rFonts w:ascii="Cambria" w:hAnsi="Cambria" w:cs="Calibri"/>
          <w:color w:val="000000" w:themeColor="text1"/>
        </w:rPr>
        <w:t xml:space="preserve">designated courses every 5 years. </w:t>
      </w:r>
      <w:r w:rsidR="000D0E0A" w:rsidRPr="00C60F7B">
        <w:rPr>
          <w:rFonts w:ascii="Cambria" w:hAnsi="Cambria" w:cs="Calibri"/>
          <w:color w:val="000000" w:themeColor="text1"/>
        </w:rPr>
        <w:t xml:space="preserve">More information for faculty about the </w:t>
      </w:r>
      <w:r w:rsidR="006A0650" w:rsidRPr="00C60F7B">
        <w:rPr>
          <w:rFonts w:ascii="Cambria" w:hAnsi="Cambria" w:cs="Calibri"/>
          <w:color w:val="000000" w:themeColor="text1"/>
        </w:rPr>
        <w:t>Diversity</w:t>
      </w:r>
      <w:r w:rsidR="000D0E0A" w:rsidRPr="00C60F7B">
        <w:rPr>
          <w:rFonts w:ascii="Cambria" w:hAnsi="Cambria" w:cs="Calibri"/>
          <w:color w:val="000000" w:themeColor="text1"/>
        </w:rPr>
        <w:t xml:space="preserve"> General Education course review process (including sample proposals) can be found at the following website: </w:t>
      </w:r>
    </w:p>
    <w:p w14:paraId="233665D4" w14:textId="77CB0C68" w:rsidR="006A0650" w:rsidRPr="00C60F7B" w:rsidRDefault="00F066DD">
      <w:pPr>
        <w:rPr>
          <w:rFonts w:ascii="Cambria" w:hAnsi="Cambria" w:cs="Calibri"/>
          <w:color w:val="000000" w:themeColor="text1"/>
        </w:rPr>
      </w:pPr>
      <w:hyperlink r:id="rId5" w:history="1">
        <w:r w:rsidR="002F046F" w:rsidRPr="00C60F7B">
          <w:rPr>
            <w:rStyle w:val="Hyperlink"/>
            <w:rFonts w:ascii="Cambria" w:hAnsi="Cambria" w:cs="Calibri"/>
            <w:color w:val="000000" w:themeColor="text1"/>
          </w:rPr>
          <w:t>https://www.uvm.edu/generaleducation/information-faculty-diversity</w:t>
        </w:r>
      </w:hyperlink>
    </w:p>
    <w:p w14:paraId="6DD35B30" w14:textId="5EBC2BEF" w:rsidR="002F046F" w:rsidRPr="00C60F7B" w:rsidRDefault="002F046F">
      <w:pPr>
        <w:rPr>
          <w:rFonts w:ascii="Cambria" w:hAnsi="Cambria" w:cs="Calibri"/>
          <w:color w:val="000000" w:themeColor="text1"/>
        </w:rPr>
      </w:pPr>
    </w:p>
    <w:p w14:paraId="73EE537A" w14:textId="77225688" w:rsidR="00D90712" w:rsidRPr="0008190F" w:rsidRDefault="00D90712">
      <w:pPr>
        <w:rPr>
          <w:rFonts w:ascii="Cambria" w:hAnsi="Cambria" w:cs="Calibri"/>
          <w:color w:val="002060"/>
        </w:rPr>
      </w:pPr>
      <w:r w:rsidRPr="0008190F">
        <w:rPr>
          <w:rFonts w:ascii="Cambria" w:hAnsi="Cambria" w:cs="Calibri"/>
          <w:color w:val="002060"/>
        </w:rPr>
        <w:t>The language below must be included on the first page of syllabi for approved courses in the two following designation categories respectively:</w:t>
      </w:r>
    </w:p>
    <w:p w14:paraId="7E2D1519" w14:textId="77777777" w:rsidR="00D90712" w:rsidRPr="00C60F7B" w:rsidRDefault="00D90712">
      <w:pPr>
        <w:rPr>
          <w:rFonts w:ascii="Cambria" w:hAnsi="Cambria" w:cs="Calibri"/>
          <w:color w:val="000000" w:themeColor="text1"/>
        </w:rPr>
      </w:pPr>
    </w:p>
    <w:p w14:paraId="73805D53" w14:textId="77777777" w:rsidR="002F046F" w:rsidRPr="00C60F7B" w:rsidRDefault="002F046F" w:rsidP="002F046F">
      <w:pPr>
        <w:rPr>
          <w:rFonts w:ascii="Cambria" w:hAnsi="Cambria" w:cs="Calibri"/>
          <w:b/>
          <w:bCs/>
          <w:color w:val="000000" w:themeColor="text1"/>
        </w:rPr>
      </w:pPr>
      <w:r w:rsidRPr="00C60F7B">
        <w:rPr>
          <w:rFonts w:ascii="Cambria" w:hAnsi="Cambria" w:cs="Calibri"/>
          <w:b/>
          <w:bCs/>
          <w:color w:val="000000" w:themeColor="text1"/>
        </w:rPr>
        <w:t>Category 1 – D1: Race and Racism in the US</w:t>
      </w:r>
    </w:p>
    <w:p w14:paraId="1E893BE8" w14:textId="77777777" w:rsidR="002F046F" w:rsidRPr="00C60F7B" w:rsidRDefault="002F046F" w:rsidP="002F046F">
      <w:pPr>
        <w:rPr>
          <w:rFonts w:ascii="Cambria" w:eastAsia="Times New Roman" w:hAnsi="Cambria" w:cs="Calibri"/>
          <w:color w:val="000000" w:themeColor="text1"/>
        </w:rPr>
      </w:pPr>
      <w:r w:rsidRPr="00C60F7B">
        <w:rPr>
          <w:rFonts w:ascii="Cambria" w:eastAsia="Times New Roman" w:hAnsi="Cambria" w:cs="Calibri"/>
          <w:color w:val="000000" w:themeColor="text1"/>
        </w:rPr>
        <w:t>Courses in this category have as a primary focus race and racism in the United States as it pertains to ALANA populations.  A D1 course must promote an understanding of:</w:t>
      </w:r>
    </w:p>
    <w:p w14:paraId="11CBE569" w14:textId="77777777" w:rsidR="002F046F" w:rsidRPr="00C60F7B" w:rsidRDefault="002F046F" w:rsidP="002F046F">
      <w:pPr>
        <w:pStyle w:val="ListParagraph"/>
        <w:numPr>
          <w:ilvl w:val="0"/>
          <w:numId w:val="6"/>
        </w:numPr>
        <w:rPr>
          <w:rFonts w:ascii="Cambria" w:eastAsia="Times New Roman" w:hAnsi="Cambria" w:cs="Calibri"/>
          <w:color w:val="000000" w:themeColor="text1"/>
        </w:rPr>
      </w:pPr>
      <w:r w:rsidRPr="00C60F7B">
        <w:rPr>
          <w:rFonts w:ascii="Cambria" w:eastAsia="Times New Roman" w:hAnsi="Cambria" w:cs="Calibri"/>
          <w:color w:val="000000" w:themeColor="text1"/>
        </w:rPr>
        <w:t>Race and racism in the U.S.;</w:t>
      </w:r>
    </w:p>
    <w:p w14:paraId="562CB47A" w14:textId="77777777" w:rsidR="002F046F" w:rsidRPr="00C60F7B" w:rsidRDefault="002F046F" w:rsidP="002F046F">
      <w:pPr>
        <w:pStyle w:val="ListParagraph"/>
        <w:numPr>
          <w:ilvl w:val="0"/>
          <w:numId w:val="6"/>
        </w:numPr>
        <w:rPr>
          <w:rFonts w:ascii="Cambria" w:eastAsia="Times New Roman" w:hAnsi="Cambria" w:cs="Calibri"/>
          <w:color w:val="000000" w:themeColor="text1"/>
        </w:rPr>
      </w:pPr>
      <w:r w:rsidRPr="00C60F7B">
        <w:rPr>
          <w:rFonts w:ascii="Cambria" w:eastAsia="Times New Roman" w:hAnsi="Cambria" w:cs="Calibri"/>
          <w:color w:val="000000" w:themeColor="text1"/>
        </w:rPr>
        <w:t>The meaning of power and privilege;</w:t>
      </w:r>
    </w:p>
    <w:p w14:paraId="09F8A9BE" w14:textId="77777777" w:rsidR="002F046F" w:rsidRPr="00C60F7B" w:rsidRDefault="002F046F" w:rsidP="002F046F">
      <w:pPr>
        <w:rPr>
          <w:rFonts w:ascii="Cambria" w:hAnsi="Cambria" w:cs="Calibri"/>
          <w:color w:val="000000" w:themeColor="text1"/>
        </w:rPr>
      </w:pPr>
    </w:p>
    <w:p w14:paraId="23949C71" w14:textId="77777777" w:rsidR="002F046F" w:rsidRPr="00C60F7B" w:rsidRDefault="002F046F" w:rsidP="002F046F">
      <w:pPr>
        <w:rPr>
          <w:rFonts w:ascii="Cambria" w:hAnsi="Cambria" w:cs="Calibri"/>
          <w:b/>
          <w:bCs/>
          <w:color w:val="000000" w:themeColor="text1"/>
        </w:rPr>
      </w:pPr>
      <w:r w:rsidRPr="00C60F7B">
        <w:rPr>
          <w:rFonts w:ascii="Cambria" w:hAnsi="Cambria" w:cs="Calibri"/>
          <w:b/>
          <w:bCs/>
          <w:color w:val="000000" w:themeColor="text1"/>
        </w:rPr>
        <w:t>Category 2 – D2: The Diversity of Human Experience</w:t>
      </w:r>
    </w:p>
    <w:p w14:paraId="17425A4B" w14:textId="77777777" w:rsidR="002F046F" w:rsidRPr="00C60F7B" w:rsidRDefault="002F046F" w:rsidP="002F046F">
      <w:pPr>
        <w:rPr>
          <w:rFonts w:ascii="Cambria" w:eastAsia="Times New Roman" w:hAnsi="Cambria" w:cs="Calibri"/>
          <w:color w:val="000000" w:themeColor="text1"/>
        </w:rPr>
      </w:pPr>
      <w:r w:rsidRPr="00C60F7B">
        <w:rPr>
          <w:rFonts w:ascii="Cambria" w:eastAsia="Times New Roman" w:hAnsi="Cambria" w:cs="Calibri"/>
          <w:color w:val="000000" w:themeColor="text1"/>
        </w:rPr>
        <w:t>Courses in this category focus on expanding students’ cultural awareness. A D2 course is intended to:</w:t>
      </w:r>
    </w:p>
    <w:p w14:paraId="10CF819A" w14:textId="77777777" w:rsidR="00B36ACF" w:rsidRPr="002E07A0" w:rsidRDefault="00B36ACF" w:rsidP="00B36ACF">
      <w:pPr>
        <w:pStyle w:val="ListParagraph"/>
        <w:numPr>
          <w:ilvl w:val="0"/>
          <w:numId w:val="7"/>
        </w:numPr>
        <w:rPr>
          <w:rFonts w:ascii="Cambria" w:eastAsia="Times New Roman" w:hAnsi="Cambria" w:cs="Calibri"/>
          <w:color w:val="000000" w:themeColor="text1"/>
        </w:rPr>
      </w:pPr>
      <w:r w:rsidRPr="002E07A0">
        <w:rPr>
          <w:rFonts w:ascii="Cambria" w:eastAsia="Times New Roman" w:hAnsi="Cambria" w:cs="Calibri"/>
          <w:color w:val="000000" w:themeColor="text1"/>
        </w:rPr>
        <w:t>Promote an awareness of and appreciation for the diversity of human experience in any of its forms including, but not limited to race, ethnicity, religion, socio-economic status, language, sex, gender identity, sexual orientation, age, and disability; and/or</w:t>
      </w:r>
    </w:p>
    <w:p w14:paraId="03ABBA01" w14:textId="77777777" w:rsidR="00B36ACF" w:rsidRPr="002E07A0" w:rsidRDefault="00B36ACF" w:rsidP="00B36ACF">
      <w:pPr>
        <w:pStyle w:val="ListParagraph"/>
        <w:numPr>
          <w:ilvl w:val="0"/>
          <w:numId w:val="7"/>
        </w:numPr>
        <w:rPr>
          <w:rFonts w:ascii="Cambria" w:eastAsia="Times New Roman" w:hAnsi="Cambria" w:cs="Calibri"/>
          <w:color w:val="000000" w:themeColor="text1"/>
        </w:rPr>
      </w:pPr>
      <w:r w:rsidRPr="002E07A0">
        <w:rPr>
          <w:rFonts w:ascii="Cambria" w:eastAsia="Times New Roman" w:hAnsi="Cambria" w:cs="Calibri"/>
          <w:color w:val="000000" w:themeColor="text1"/>
        </w:rPr>
        <w:t>Foster an understanding of global and national issues including the histories, health, contexts, and flows of people, cultures, ideas, and capital or other resources within or across political and geographical boundaries</w:t>
      </w:r>
    </w:p>
    <w:p w14:paraId="0E25851D" w14:textId="015B79AB" w:rsidR="000D0E0A" w:rsidRDefault="000D0E0A">
      <w:pPr>
        <w:pBdr>
          <w:bottom w:val="single" w:sz="6" w:space="1" w:color="auto"/>
        </w:pBdr>
        <w:rPr>
          <w:rFonts w:ascii="Cambria" w:hAnsi="Cambria" w:cs="Calibri"/>
          <w:color w:val="000000" w:themeColor="text1"/>
        </w:rPr>
      </w:pPr>
    </w:p>
    <w:p w14:paraId="50689601" w14:textId="77777777" w:rsidR="002E07A0" w:rsidRDefault="002E07A0">
      <w:pPr>
        <w:rPr>
          <w:rFonts w:ascii="Cambria" w:hAnsi="Cambria" w:cs="Calibri"/>
          <w:color w:val="000000" w:themeColor="text1"/>
        </w:rPr>
      </w:pPr>
    </w:p>
    <w:p w14:paraId="29996DD2" w14:textId="5DE74CBA" w:rsidR="001365D6" w:rsidRPr="00C60F7B" w:rsidRDefault="00FB09B5">
      <w:pPr>
        <w:rPr>
          <w:rFonts w:ascii="Cambria" w:hAnsi="Cambria" w:cs="Calibri"/>
          <w:color w:val="000000" w:themeColor="text1"/>
        </w:rPr>
      </w:pPr>
      <w:r w:rsidRPr="00C60F7B">
        <w:rPr>
          <w:rFonts w:ascii="Cambria" w:hAnsi="Cambria" w:cs="Calibri"/>
          <w:color w:val="000000" w:themeColor="text1"/>
        </w:rPr>
        <w:t xml:space="preserve">The overall purpose of the periodic review process for all general education initiatives is to maintain the integrity of the general education process at UVM and to ensure that courses dedicated for these purposes maintain alignment with the learning outcomes for which they were intended. At its heart, this process is intended to be a dialogue with new instructors </w:t>
      </w:r>
      <w:r w:rsidR="000705E6" w:rsidRPr="00C60F7B">
        <w:rPr>
          <w:rFonts w:ascii="Cambria" w:hAnsi="Cambria" w:cs="Calibri"/>
          <w:color w:val="000000" w:themeColor="text1"/>
        </w:rPr>
        <w:t xml:space="preserve">that </w:t>
      </w:r>
      <w:r w:rsidRPr="00C60F7B">
        <w:rPr>
          <w:rFonts w:ascii="Cambria" w:hAnsi="Cambria" w:cs="Calibri"/>
          <w:color w:val="000000" w:themeColor="text1"/>
        </w:rPr>
        <w:t xml:space="preserve">have taken on these courses since the original </w:t>
      </w:r>
      <w:r w:rsidR="006A0650" w:rsidRPr="00C60F7B">
        <w:rPr>
          <w:rFonts w:ascii="Cambria" w:hAnsi="Cambria" w:cs="Calibri"/>
          <w:color w:val="000000" w:themeColor="text1"/>
        </w:rPr>
        <w:t>D1/D2</w:t>
      </w:r>
      <w:r w:rsidRPr="00C60F7B">
        <w:rPr>
          <w:rFonts w:ascii="Cambria" w:hAnsi="Cambria" w:cs="Calibri"/>
          <w:color w:val="000000" w:themeColor="text1"/>
        </w:rPr>
        <w:t xml:space="preserve">-designation, and also to receive feedback from instructors </w:t>
      </w:r>
      <w:r w:rsidRPr="00C60F7B">
        <w:rPr>
          <w:rFonts w:ascii="Cambria" w:hAnsi="Cambria" w:cs="Calibri"/>
          <w:color w:val="000000" w:themeColor="text1"/>
        </w:rPr>
        <w:lastRenderedPageBreak/>
        <w:t>who have been teaching these courses since the</w:t>
      </w:r>
      <w:r w:rsidR="000705E6" w:rsidRPr="00C60F7B">
        <w:rPr>
          <w:rFonts w:ascii="Cambria" w:hAnsi="Cambria" w:cs="Calibri"/>
          <w:color w:val="000000" w:themeColor="text1"/>
        </w:rPr>
        <w:t>ir</w:t>
      </w:r>
      <w:r w:rsidRPr="00C60F7B">
        <w:rPr>
          <w:rFonts w:ascii="Cambria" w:hAnsi="Cambria" w:cs="Calibri"/>
          <w:color w:val="000000" w:themeColor="text1"/>
        </w:rPr>
        <w:t xml:space="preserve"> original designation. The periodic review process can result in </w:t>
      </w:r>
      <w:r w:rsidR="00615727" w:rsidRPr="00C60F7B">
        <w:rPr>
          <w:rFonts w:ascii="Cambria" w:hAnsi="Cambria" w:cs="Calibri"/>
          <w:color w:val="000000" w:themeColor="text1"/>
        </w:rPr>
        <w:t>1 of 3 outcomes:</w:t>
      </w:r>
    </w:p>
    <w:p w14:paraId="34352A9A" w14:textId="77777777" w:rsidR="00615727" w:rsidRPr="00C60F7B" w:rsidRDefault="00615727">
      <w:pPr>
        <w:rPr>
          <w:rFonts w:ascii="Cambria" w:hAnsi="Cambria" w:cs="Calibri"/>
          <w:color w:val="000000" w:themeColor="text1"/>
        </w:rPr>
      </w:pPr>
    </w:p>
    <w:p w14:paraId="797FDFFA" w14:textId="19B63044" w:rsidR="00615727" w:rsidRPr="00C60F7B" w:rsidRDefault="00615727" w:rsidP="00615727">
      <w:pPr>
        <w:pStyle w:val="ListParagraph"/>
        <w:numPr>
          <w:ilvl w:val="0"/>
          <w:numId w:val="5"/>
        </w:numPr>
        <w:rPr>
          <w:rFonts w:ascii="Cambria" w:hAnsi="Cambria" w:cs="Calibri"/>
          <w:color w:val="000000" w:themeColor="text1"/>
        </w:rPr>
      </w:pPr>
      <w:r w:rsidRPr="00C60F7B">
        <w:rPr>
          <w:rFonts w:ascii="Cambria" w:hAnsi="Cambria" w:cs="Calibri"/>
          <w:color w:val="000000" w:themeColor="text1"/>
        </w:rPr>
        <w:t>Re-designation (the course will be assigned “</w:t>
      </w:r>
      <w:r w:rsidR="006A0650" w:rsidRPr="00C60F7B">
        <w:rPr>
          <w:rFonts w:ascii="Cambria" w:hAnsi="Cambria" w:cs="Calibri"/>
          <w:color w:val="000000" w:themeColor="text1"/>
        </w:rPr>
        <w:t>D1</w:t>
      </w:r>
      <w:r w:rsidRPr="00C60F7B">
        <w:rPr>
          <w:rFonts w:ascii="Cambria" w:hAnsi="Cambria" w:cs="Calibri"/>
          <w:color w:val="000000" w:themeColor="text1"/>
        </w:rPr>
        <w:t>”</w:t>
      </w:r>
      <w:r w:rsidR="006A0650" w:rsidRPr="00C60F7B">
        <w:rPr>
          <w:rFonts w:ascii="Cambria" w:hAnsi="Cambria" w:cs="Calibri"/>
          <w:color w:val="000000" w:themeColor="text1"/>
        </w:rPr>
        <w:t xml:space="preserve"> or “D2”</w:t>
      </w:r>
      <w:r w:rsidRPr="00C60F7B">
        <w:rPr>
          <w:rFonts w:ascii="Cambria" w:hAnsi="Cambria" w:cs="Calibri"/>
          <w:color w:val="000000" w:themeColor="text1"/>
        </w:rPr>
        <w:t xml:space="preserve"> designation for an additional 5 years)</w:t>
      </w:r>
    </w:p>
    <w:p w14:paraId="25BA960F" w14:textId="5DDCEAA9" w:rsidR="00615727" w:rsidRPr="00C60F7B" w:rsidRDefault="00615727" w:rsidP="00615727">
      <w:pPr>
        <w:pStyle w:val="ListParagraph"/>
        <w:numPr>
          <w:ilvl w:val="0"/>
          <w:numId w:val="5"/>
        </w:numPr>
        <w:rPr>
          <w:rFonts w:ascii="Cambria" w:hAnsi="Cambria" w:cs="Calibri"/>
          <w:color w:val="000000" w:themeColor="text1"/>
        </w:rPr>
      </w:pPr>
      <w:r w:rsidRPr="00C60F7B">
        <w:rPr>
          <w:rFonts w:ascii="Cambria" w:hAnsi="Cambria" w:cs="Calibri"/>
          <w:color w:val="000000" w:themeColor="text1"/>
        </w:rPr>
        <w:t xml:space="preserve">Revisions requested (the </w:t>
      </w:r>
      <w:r w:rsidR="006A0650" w:rsidRPr="00C60F7B">
        <w:rPr>
          <w:rFonts w:ascii="Cambria" w:hAnsi="Cambria" w:cs="Calibri"/>
          <w:color w:val="000000" w:themeColor="text1"/>
        </w:rPr>
        <w:t>D</w:t>
      </w:r>
      <w:r w:rsidRPr="00C60F7B">
        <w:rPr>
          <w:rFonts w:ascii="Cambria" w:hAnsi="Cambria" w:cs="Calibri"/>
          <w:color w:val="000000" w:themeColor="text1"/>
        </w:rPr>
        <w:t>CRC may ask for a revision to the form based on changes to the course which may have occurred since the original designation)</w:t>
      </w:r>
    </w:p>
    <w:p w14:paraId="0EA87D3E" w14:textId="379FF488" w:rsidR="00615727" w:rsidRPr="00C60F7B" w:rsidRDefault="00615727" w:rsidP="00615727">
      <w:pPr>
        <w:pStyle w:val="ListParagraph"/>
        <w:numPr>
          <w:ilvl w:val="0"/>
          <w:numId w:val="5"/>
        </w:numPr>
        <w:rPr>
          <w:rFonts w:ascii="Cambria" w:hAnsi="Cambria" w:cs="Calibri"/>
          <w:color w:val="000000" w:themeColor="text1"/>
        </w:rPr>
      </w:pPr>
      <w:r w:rsidRPr="00C60F7B">
        <w:rPr>
          <w:rFonts w:ascii="Cambria" w:hAnsi="Cambria" w:cs="Calibri"/>
          <w:color w:val="000000" w:themeColor="text1"/>
        </w:rPr>
        <w:t>Loss of designation (this is the default outcome for instructors who choose not to participate in the Periodic Review process)</w:t>
      </w:r>
    </w:p>
    <w:p w14:paraId="3D9DAA96" w14:textId="2A9CD5BC" w:rsidR="00615727" w:rsidRPr="00C60F7B" w:rsidRDefault="00615727">
      <w:pPr>
        <w:rPr>
          <w:rFonts w:ascii="Cambria" w:hAnsi="Cambria" w:cs="Calibri"/>
          <w:color w:val="000000" w:themeColor="text1"/>
        </w:rPr>
      </w:pPr>
    </w:p>
    <w:p w14:paraId="5DC06988" w14:textId="226D5373" w:rsidR="00A326CA" w:rsidRPr="00C60F7B" w:rsidRDefault="00A326CA">
      <w:pPr>
        <w:rPr>
          <w:rFonts w:ascii="Cambria" w:hAnsi="Cambria" w:cs="Calibri"/>
          <w:color w:val="000000" w:themeColor="text1"/>
        </w:rPr>
      </w:pPr>
      <w:r w:rsidRPr="00C60F7B">
        <w:rPr>
          <w:rFonts w:ascii="Cambria" w:hAnsi="Cambria" w:cs="Calibri"/>
          <w:color w:val="000000" w:themeColor="text1"/>
        </w:rPr>
        <w:t xml:space="preserve">Deadline for periodic review submission is </w:t>
      </w:r>
      <w:r w:rsidR="003F4F00">
        <w:rPr>
          <w:rFonts w:ascii="Cambria" w:hAnsi="Cambria" w:cs="Calibri"/>
          <w:color w:val="000000" w:themeColor="text1"/>
        </w:rPr>
        <w:t>02</w:t>
      </w:r>
      <w:r w:rsidRPr="00C60F7B">
        <w:rPr>
          <w:rFonts w:ascii="Cambria" w:hAnsi="Cambria" w:cs="Calibri"/>
          <w:color w:val="000000" w:themeColor="text1"/>
        </w:rPr>
        <w:t>/</w:t>
      </w:r>
      <w:r w:rsidR="003F4F00">
        <w:rPr>
          <w:rFonts w:ascii="Cambria" w:hAnsi="Cambria" w:cs="Calibri"/>
          <w:color w:val="000000" w:themeColor="text1"/>
        </w:rPr>
        <w:t>28</w:t>
      </w:r>
      <w:r w:rsidRPr="00C60F7B">
        <w:rPr>
          <w:rFonts w:ascii="Cambria" w:hAnsi="Cambria" w:cs="Calibri"/>
          <w:color w:val="000000" w:themeColor="text1"/>
        </w:rPr>
        <w:t>/20</w:t>
      </w:r>
      <w:r w:rsidR="003F4F00">
        <w:rPr>
          <w:rFonts w:ascii="Cambria" w:hAnsi="Cambria" w:cs="Calibri"/>
          <w:color w:val="000000" w:themeColor="text1"/>
        </w:rPr>
        <w:t>20</w:t>
      </w:r>
      <w:r w:rsidRPr="00C60F7B">
        <w:rPr>
          <w:rFonts w:ascii="Cambria" w:hAnsi="Cambria" w:cs="Calibri"/>
          <w:color w:val="000000" w:themeColor="text1"/>
        </w:rPr>
        <w:t xml:space="preserve"> to </w:t>
      </w:r>
      <w:r w:rsidR="003F4F00">
        <w:rPr>
          <w:rFonts w:ascii="Cambria" w:hAnsi="Cambria" w:cs="Calibri"/>
          <w:color w:val="000000" w:themeColor="text1"/>
        </w:rPr>
        <w:t xml:space="preserve">the </w:t>
      </w:r>
      <w:r w:rsidR="006A0650" w:rsidRPr="00C60F7B">
        <w:rPr>
          <w:rFonts w:ascii="Cambria" w:hAnsi="Cambria" w:cs="Calibri"/>
          <w:color w:val="000000" w:themeColor="text1"/>
        </w:rPr>
        <w:t>D</w:t>
      </w:r>
      <w:r w:rsidRPr="00C60F7B">
        <w:rPr>
          <w:rFonts w:ascii="Cambria" w:hAnsi="Cambria" w:cs="Calibri"/>
          <w:color w:val="000000" w:themeColor="text1"/>
        </w:rPr>
        <w:t>CRC Committee (</w:t>
      </w:r>
      <w:hyperlink r:id="rId6" w:history="1">
        <w:r w:rsidR="003F4F00" w:rsidRPr="0013622D">
          <w:rPr>
            <w:rStyle w:val="Hyperlink"/>
            <w:rFonts w:ascii="Cambria" w:hAnsi="Cambria" w:cs="Calibri"/>
          </w:rPr>
          <w:t>pbose@uvm.edu</w:t>
        </w:r>
      </w:hyperlink>
      <w:r w:rsidRPr="00C60F7B">
        <w:rPr>
          <w:rFonts w:ascii="Cambria" w:hAnsi="Cambria" w:cs="Calibri"/>
          <w:color w:val="000000" w:themeColor="text1"/>
        </w:rPr>
        <w:t>). Adherence to this deadline is the only way to guarantee continuous “</w:t>
      </w:r>
      <w:r w:rsidR="006A0650" w:rsidRPr="00C60F7B">
        <w:rPr>
          <w:rFonts w:ascii="Cambria" w:hAnsi="Cambria" w:cs="Calibri"/>
          <w:color w:val="000000" w:themeColor="text1"/>
        </w:rPr>
        <w:t>D1</w:t>
      </w:r>
      <w:r w:rsidRPr="00C60F7B">
        <w:rPr>
          <w:rFonts w:ascii="Cambria" w:hAnsi="Cambria" w:cs="Calibri"/>
          <w:color w:val="000000" w:themeColor="text1"/>
        </w:rPr>
        <w:t>”</w:t>
      </w:r>
      <w:r w:rsidR="006A0650" w:rsidRPr="00C60F7B">
        <w:rPr>
          <w:rFonts w:ascii="Cambria" w:hAnsi="Cambria" w:cs="Calibri"/>
          <w:color w:val="000000" w:themeColor="text1"/>
        </w:rPr>
        <w:t xml:space="preserve"> or “D2”</w:t>
      </w:r>
      <w:r w:rsidRPr="00C60F7B">
        <w:rPr>
          <w:rFonts w:ascii="Cambria" w:hAnsi="Cambria" w:cs="Calibri"/>
          <w:color w:val="000000" w:themeColor="text1"/>
        </w:rPr>
        <w:t xml:space="preserve"> designation for the 2020-2021 Academic Year.</w:t>
      </w:r>
    </w:p>
    <w:p w14:paraId="7E16D146" w14:textId="108243A5" w:rsidR="001365D6" w:rsidRPr="00C60F7B" w:rsidRDefault="006A0650">
      <w:pPr>
        <w:rPr>
          <w:rFonts w:ascii="Cambria" w:hAnsi="Cambria" w:cs="Calibri"/>
          <w:b/>
          <w:bCs/>
          <w:color w:val="000000" w:themeColor="text1"/>
          <w:u w:val="single"/>
        </w:rPr>
      </w:pPr>
      <w:r w:rsidRPr="00C60F7B">
        <w:rPr>
          <w:rFonts w:ascii="Cambria" w:hAnsi="Cambria" w:cs="Calibri"/>
          <w:b/>
          <w:bCs/>
          <w:color w:val="000000" w:themeColor="text1"/>
          <w:u w:val="single"/>
        </w:rPr>
        <w:t>D</w:t>
      </w:r>
      <w:r w:rsidR="00615727" w:rsidRPr="00C60F7B">
        <w:rPr>
          <w:rFonts w:ascii="Cambria" w:hAnsi="Cambria" w:cs="Calibri"/>
          <w:b/>
          <w:bCs/>
          <w:color w:val="000000" w:themeColor="text1"/>
          <w:u w:val="single"/>
        </w:rPr>
        <w:t>CRC Periodic Review Form</w:t>
      </w:r>
    </w:p>
    <w:p w14:paraId="2271892B" w14:textId="77777777" w:rsidR="00615727" w:rsidRPr="00C60F7B" w:rsidRDefault="00615727">
      <w:pPr>
        <w:rPr>
          <w:rFonts w:ascii="Cambria" w:hAnsi="Cambria" w:cs="Calibri"/>
          <w:color w:val="000000" w:themeColor="text1"/>
        </w:rPr>
      </w:pPr>
    </w:p>
    <w:p w14:paraId="4C676F47" w14:textId="315E7F89" w:rsidR="008A7A5F" w:rsidRPr="00C60F7B" w:rsidRDefault="008A7A5F">
      <w:pPr>
        <w:rPr>
          <w:rFonts w:ascii="Cambria" w:hAnsi="Cambria" w:cs="Calibri"/>
          <w:color w:val="000000" w:themeColor="text1"/>
        </w:rPr>
      </w:pPr>
      <w:r w:rsidRPr="00C60F7B">
        <w:rPr>
          <w:rFonts w:ascii="Cambria" w:hAnsi="Cambria" w:cs="Calibri"/>
          <w:color w:val="000000" w:themeColor="text1"/>
        </w:rPr>
        <w:t xml:space="preserve">How many times have you taught this course </w:t>
      </w:r>
      <w:r w:rsidR="006A0346" w:rsidRPr="00C60F7B">
        <w:rPr>
          <w:rFonts w:ascii="Cambria" w:hAnsi="Cambria" w:cs="Calibri"/>
          <w:color w:val="000000" w:themeColor="text1"/>
        </w:rPr>
        <w:t xml:space="preserve">in the last 5 years </w:t>
      </w:r>
      <w:r w:rsidRPr="00C60F7B">
        <w:rPr>
          <w:rFonts w:ascii="Cambria" w:hAnsi="Cambria" w:cs="Calibri"/>
          <w:color w:val="000000" w:themeColor="text1"/>
        </w:rPr>
        <w:t>(</w:t>
      </w:r>
      <w:r w:rsidRPr="0008190F">
        <w:rPr>
          <w:rFonts w:ascii="Cambria" w:hAnsi="Cambria" w:cs="Calibri"/>
          <w:color w:val="002060"/>
        </w:rPr>
        <w:t>please list year/s and semester</w:t>
      </w:r>
      <w:r w:rsidRPr="00C60F7B">
        <w:rPr>
          <w:rFonts w:ascii="Cambria" w:hAnsi="Cambria" w:cs="Calibri"/>
          <w:color w:val="000000" w:themeColor="text1"/>
        </w:rPr>
        <w:t>)</w:t>
      </w:r>
      <w:r w:rsidR="006A0346" w:rsidRPr="00C60F7B">
        <w:rPr>
          <w:rFonts w:ascii="Cambria" w:hAnsi="Cambria" w:cs="Calibri"/>
          <w:color w:val="000000" w:themeColor="text1"/>
        </w:rPr>
        <w:t>?</w:t>
      </w:r>
    </w:p>
    <w:p w14:paraId="3724D295" w14:textId="6E5AEF90" w:rsidR="008A7A5F" w:rsidRPr="00C60F7B" w:rsidRDefault="008A7A5F">
      <w:pPr>
        <w:rPr>
          <w:rFonts w:ascii="Cambria" w:hAnsi="Cambria" w:cs="Calibri"/>
          <w:color w:val="000000" w:themeColor="text1"/>
        </w:rPr>
      </w:pPr>
    </w:p>
    <w:p w14:paraId="31A55E99" w14:textId="6EA025DC" w:rsidR="00115046" w:rsidRPr="00C60F7B" w:rsidRDefault="00115046">
      <w:pPr>
        <w:rPr>
          <w:rFonts w:ascii="Cambria" w:hAnsi="Cambria" w:cs="Calibri"/>
          <w:color w:val="000000" w:themeColor="text1"/>
        </w:rPr>
      </w:pPr>
      <w:r w:rsidRPr="00C60F7B">
        <w:rPr>
          <w:rFonts w:ascii="Cambria" w:hAnsi="Cambria" w:cs="Calibri"/>
          <w:color w:val="000000" w:themeColor="text1"/>
        </w:rPr>
        <w:t>Has this course ever been reviewed for “D1” or “D2” approval?</w:t>
      </w:r>
    </w:p>
    <w:p w14:paraId="10D969A7" w14:textId="5FD72ACD" w:rsidR="00115046" w:rsidRPr="00C60F7B" w:rsidRDefault="00115046">
      <w:pPr>
        <w:rPr>
          <w:rFonts w:ascii="Cambria" w:hAnsi="Cambria" w:cs="Calibri"/>
          <w:color w:val="000000" w:themeColor="text1"/>
        </w:rPr>
      </w:pPr>
      <w:r w:rsidRPr="00C60F7B">
        <w:rPr>
          <w:rFonts w:ascii="Cambria" w:hAnsi="Cambria" w:cs="Calibri"/>
          <w:color w:val="000000" w:themeColor="text1"/>
        </w:rPr>
        <w:t>Yes / No</w:t>
      </w:r>
    </w:p>
    <w:p w14:paraId="7AE00E86" w14:textId="77777777" w:rsidR="00115046" w:rsidRPr="00C60F7B" w:rsidRDefault="00115046">
      <w:pPr>
        <w:rPr>
          <w:rFonts w:ascii="Cambria" w:hAnsi="Cambria" w:cs="Calibri"/>
          <w:color w:val="000000" w:themeColor="text1"/>
        </w:rPr>
      </w:pPr>
    </w:p>
    <w:p w14:paraId="1AAF652A" w14:textId="6345CBE9" w:rsidR="00CE15C4" w:rsidRPr="00C60F7B" w:rsidRDefault="00991AA6">
      <w:pPr>
        <w:rPr>
          <w:rFonts w:ascii="Cambria" w:hAnsi="Cambria" w:cs="Calibri"/>
          <w:color w:val="000000" w:themeColor="text1"/>
        </w:rPr>
      </w:pPr>
      <w:r w:rsidRPr="00C60F7B">
        <w:rPr>
          <w:rFonts w:ascii="Cambria" w:hAnsi="Cambria" w:cs="Calibri"/>
          <w:color w:val="000000" w:themeColor="text1"/>
        </w:rPr>
        <w:t>Are you the original instructor</w:t>
      </w:r>
      <w:r w:rsidR="008A7A5F" w:rsidRPr="00C60F7B">
        <w:rPr>
          <w:rFonts w:ascii="Cambria" w:hAnsi="Cambria" w:cs="Calibri"/>
          <w:color w:val="000000" w:themeColor="text1"/>
        </w:rPr>
        <w:t xml:space="preserve"> who submitted this course for “</w:t>
      </w:r>
      <w:r w:rsidR="006A0650" w:rsidRPr="00C60F7B">
        <w:rPr>
          <w:rFonts w:ascii="Cambria" w:hAnsi="Cambria" w:cs="Calibri"/>
          <w:color w:val="000000" w:themeColor="text1"/>
        </w:rPr>
        <w:t>D1</w:t>
      </w:r>
      <w:r w:rsidR="008A7A5F" w:rsidRPr="00C60F7B">
        <w:rPr>
          <w:rFonts w:ascii="Cambria" w:hAnsi="Cambria" w:cs="Calibri"/>
          <w:color w:val="000000" w:themeColor="text1"/>
        </w:rPr>
        <w:t>”</w:t>
      </w:r>
      <w:r w:rsidR="006A0650" w:rsidRPr="00C60F7B">
        <w:rPr>
          <w:rFonts w:ascii="Cambria" w:hAnsi="Cambria" w:cs="Calibri"/>
          <w:color w:val="000000" w:themeColor="text1"/>
        </w:rPr>
        <w:t xml:space="preserve"> or “D2”</w:t>
      </w:r>
      <w:r w:rsidR="008A7A5F" w:rsidRPr="00C60F7B">
        <w:rPr>
          <w:rFonts w:ascii="Cambria" w:hAnsi="Cambria" w:cs="Calibri"/>
          <w:color w:val="000000" w:themeColor="text1"/>
        </w:rPr>
        <w:t xml:space="preserve"> approval</w:t>
      </w:r>
      <w:r w:rsidRPr="00C60F7B">
        <w:rPr>
          <w:rFonts w:ascii="Cambria" w:hAnsi="Cambria" w:cs="Calibri"/>
          <w:color w:val="000000" w:themeColor="text1"/>
        </w:rPr>
        <w:t>?</w:t>
      </w:r>
    </w:p>
    <w:p w14:paraId="55C8B73A" w14:textId="77777777" w:rsidR="00991AA6" w:rsidRPr="00C60F7B" w:rsidRDefault="00991AA6">
      <w:pPr>
        <w:rPr>
          <w:rFonts w:ascii="Cambria" w:hAnsi="Cambria" w:cs="Calibri"/>
          <w:color w:val="000000" w:themeColor="text1"/>
        </w:rPr>
      </w:pPr>
      <w:r w:rsidRPr="00C60F7B">
        <w:rPr>
          <w:rFonts w:ascii="Cambria" w:hAnsi="Cambria" w:cs="Calibri"/>
          <w:color w:val="000000" w:themeColor="text1"/>
        </w:rPr>
        <w:t>Yes / No</w:t>
      </w:r>
    </w:p>
    <w:p w14:paraId="102A040A" w14:textId="77777777" w:rsidR="00991AA6" w:rsidRPr="00C60F7B" w:rsidRDefault="00991AA6">
      <w:pPr>
        <w:rPr>
          <w:rFonts w:ascii="Cambria" w:hAnsi="Cambria" w:cs="Calibri"/>
          <w:color w:val="000000" w:themeColor="text1"/>
        </w:rPr>
      </w:pPr>
    </w:p>
    <w:p w14:paraId="0E9A65B7" w14:textId="77777777" w:rsidR="00441AA4" w:rsidRPr="00C60F7B" w:rsidRDefault="00441AA4">
      <w:pPr>
        <w:rPr>
          <w:rFonts w:ascii="Cambria" w:hAnsi="Cambria" w:cs="Calibri"/>
          <w:i/>
          <w:iCs/>
          <w:color w:val="000000" w:themeColor="text1"/>
        </w:rPr>
      </w:pPr>
      <w:r w:rsidRPr="00C60F7B">
        <w:rPr>
          <w:rFonts w:ascii="Cambria" w:hAnsi="Cambria" w:cs="Calibri"/>
          <w:i/>
          <w:iCs/>
          <w:color w:val="000000" w:themeColor="text1"/>
        </w:rPr>
        <w:br w:type="page"/>
      </w:r>
    </w:p>
    <w:p w14:paraId="36E9B08D" w14:textId="28A2F4E9" w:rsidR="008A7A5F" w:rsidRPr="00C60F7B" w:rsidRDefault="00991AA6" w:rsidP="008A7A5F">
      <w:pPr>
        <w:rPr>
          <w:rFonts w:ascii="Cambria" w:hAnsi="Cambria" w:cs="Calibri"/>
          <w:i/>
          <w:iCs/>
          <w:color w:val="000000" w:themeColor="text1"/>
        </w:rPr>
      </w:pPr>
      <w:r w:rsidRPr="0008190F">
        <w:rPr>
          <w:rFonts w:ascii="Cambria" w:hAnsi="Cambria" w:cs="Calibri"/>
          <w:i/>
          <w:iCs/>
          <w:color w:val="002060"/>
        </w:rPr>
        <w:lastRenderedPageBreak/>
        <w:t>If no – fill out the existing form</w:t>
      </w:r>
      <w:r w:rsidR="001365D6" w:rsidRPr="0008190F">
        <w:rPr>
          <w:rFonts w:ascii="Cambria" w:hAnsi="Cambria" w:cs="Calibri"/>
          <w:i/>
          <w:iCs/>
          <w:color w:val="002060"/>
        </w:rPr>
        <w:t xml:space="preserve"> below</w:t>
      </w:r>
      <w:r w:rsidR="001365D6" w:rsidRPr="00C60F7B">
        <w:rPr>
          <w:rFonts w:ascii="Cambria" w:hAnsi="Cambria" w:cs="Calibri"/>
          <w:i/>
          <w:iCs/>
          <w:color w:val="000000" w:themeColor="text1"/>
        </w:rPr>
        <w:t>:</w:t>
      </w:r>
      <w:r w:rsidR="00625723" w:rsidRPr="00C60F7B">
        <w:rPr>
          <w:rFonts w:ascii="Cambria" w:hAnsi="Cambria" w:cs="Calibri"/>
          <w:i/>
          <w:iCs/>
          <w:color w:val="000000" w:themeColor="text1"/>
        </w:rPr>
        <w:t xml:space="preserve"> </w:t>
      </w:r>
    </w:p>
    <w:p w14:paraId="3E26DE8D" w14:textId="77777777" w:rsidR="008A7A5F" w:rsidRPr="00C60F7B" w:rsidRDefault="008A7A5F">
      <w:pPr>
        <w:rPr>
          <w:rFonts w:ascii="Cambria" w:hAnsi="Cambria" w:cs="Calibri"/>
          <w:color w:val="000000" w:themeColor="text1"/>
        </w:rPr>
      </w:pPr>
    </w:p>
    <w:p w14:paraId="5307F201" w14:textId="6597A08E" w:rsidR="002F046F" w:rsidRPr="00C60F7B" w:rsidRDefault="00A326CA" w:rsidP="001E7DF9">
      <w:pPr>
        <w:rPr>
          <w:rFonts w:ascii="Cambria" w:hAnsi="Cambria" w:cs="Calibri"/>
          <w:color w:val="000000" w:themeColor="text1"/>
        </w:rPr>
      </w:pPr>
      <w:r w:rsidRPr="00C60F7B">
        <w:rPr>
          <w:rFonts w:ascii="Cambria" w:hAnsi="Cambria" w:cs="Calibri"/>
          <w:color w:val="000000" w:themeColor="text1"/>
        </w:rPr>
        <w:t>Refer to the course’s historical record (including its “</w:t>
      </w:r>
      <w:r w:rsidR="006A0650" w:rsidRPr="00C60F7B">
        <w:rPr>
          <w:rFonts w:ascii="Cambria" w:hAnsi="Cambria" w:cs="Calibri"/>
          <w:color w:val="000000" w:themeColor="text1"/>
        </w:rPr>
        <w:t>D1</w:t>
      </w:r>
      <w:r w:rsidRPr="00C60F7B">
        <w:rPr>
          <w:rFonts w:ascii="Cambria" w:hAnsi="Cambria" w:cs="Calibri"/>
          <w:color w:val="000000" w:themeColor="text1"/>
        </w:rPr>
        <w:t>”</w:t>
      </w:r>
      <w:r w:rsidR="006A0650" w:rsidRPr="00C60F7B">
        <w:rPr>
          <w:rFonts w:ascii="Cambria" w:hAnsi="Cambria" w:cs="Calibri"/>
          <w:color w:val="000000" w:themeColor="text1"/>
        </w:rPr>
        <w:t xml:space="preserve"> or “D2”</w:t>
      </w:r>
      <w:r w:rsidRPr="00C60F7B">
        <w:rPr>
          <w:rFonts w:ascii="Cambria" w:hAnsi="Cambria" w:cs="Calibri"/>
          <w:color w:val="000000" w:themeColor="text1"/>
        </w:rPr>
        <w:t xml:space="preserve">-related content in the electronic Courseleaf system at the following link by searching for the course prefix and number (https://catalog-next.uvm.edu/courseadmin/). </w:t>
      </w:r>
      <w:r w:rsidR="000D0E0A" w:rsidRPr="00C60F7B">
        <w:rPr>
          <w:rFonts w:ascii="Cambria" w:hAnsi="Cambria" w:cs="Calibri"/>
          <w:color w:val="000000" w:themeColor="text1"/>
        </w:rPr>
        <w:t>In order to view the full information of the courses previous “</w:t>
      </w:r>
      <w:r w:rsidR="006A0650" w:rsidRPr="00C60F7B">
        <w:rPr>
          <w:rFonts w:ascii="Cambria" w:hAnsi="Cambria" w:cs="Calibri"/>
          <w:color w:val="000000" w:themeColor="text1"/>
        </w:rPr>
        <w:t>D1</w:t>
      </w:r>
      <w:r w:rsidR="000D0E0A" w:rsidRPr="00C60F7B">
        <w:rPr>
          <w:rFonts w:ascii="Cambria" w:hAnsi="Cambria" w:cs="Calibri"/>
          <w:color w:val="000000" w:themeColor="text1"/>
        </w:rPr>
        <w:t>”</w:t>
      </w:r>
      <w:r w:rsidR="006A0650" w:rsidRPr="00C60F7B">
        <w:rPr>
          <w:rFonts w:ascii="Cambria" w:hAnsi="Cambria" w:cs="Calibri"/>
          <w:color w:val="000000" w:themeColor="text1"/>
        </w:rPr>
        <w:t xml:space="preserve"> or “D2”</w:t>
      </w:r>
      <w:r w:rsidR="000D0E0A" w:rsidRPr="00C60F7B">
        <w:rPr>
          <w:rFonts w:ascii="Cambria" w:hAnsi="Cambria" w:cs="Calibri"/>
          <w:color w:val="000000" w:themeColor="text1"/>
        </w:rPr>
        <w:t xml:space="preserve"> application, you will need to c</w:t>
      </w:r>
      <w:r w:rsidR="00EF37F2" w:rsidRPr="00C60F7B">
        <w:rPr>
          <w:rFonts w:ascii="Cambria" w:hAnsi="Cambria" w:cs="Calibri"/>
          <w:color w:val="000000" w:themeColor="text1"/>
        </w:rPr>
        <w:t xml:space="preserve">heck the </w:t>
      </w:r>
      <w:r w:rsidR="000D0E0A" w:rsidRPr="00C60F7B">
        <w:rPr>
          <w:rFonts w:ascii="Cambria" w:hAnsi="Cambria" w:cs="Calibri"/>
          <w:color w:val="000000" w:themeColor="text1"/>
        </w:rPr>
        <w:t>“</w:t>
      </w:r>
      <w:r w:rsidR="00EF37F2" w:rsidRPr="00C60F7B">
        <w:rPr>
          <w:rFonts w:ascii="Cambria" w:hAnsi="Cambria" w:cs="Calibri"/>
          <w:color w:val="000000" w:themeColor="text1"/>
        </w:rPr>
        <w:t>history</w:t>
      </w:r>
      <w:r w:rsidR="000D0E0A" w:rsidRPr="00C60F7B">
        <w:rPr>
          <w:rFonts w:ascii="Cambria" w:hAnsi="Cambria" w:cs="Calibri"/>
          <w:color w:val="000000" w:themeColor="text1"/>
        </w:rPr>
        <w:t>”</w:t>
      </w:r>
      <w:r w:rsidR="00EF37F2" w:rsidRPr="00C60F7B">
        <w:rPr>
          <w:rFonts w:ascii="Cambria" w:hAnsi="Cambria" w:cs="Calibri"/>
          <w:color w:val="000000" w:themeColor="text1"/>
        </w:rPr>
        <w:t xml:space="preserve"> box</w:t>
      </w:r>
      <w:r w:rsidR="000D0E0A" w:rsidRPr="00C60F7B">
        <w:rPr>
          <w:rFonts w:ascii="Cambria" w:hAnsi="Cambria" w:cs="Calibri"/>
          <w:color w:val="000000" w:themeColor="text1"/>
        </w:rPr>
        <w:t xml:space="preserve"> to the right of the search bar and view the “historical” course record that comes up in the search</w:t>
      </w:r>
      <w:r w:rsidR="00EF37F2" w:rsidRPr="00C60F7B">
        <w:rPr>
          <w:rFonts w:ascii="Cambria" w:hAnsi="Cambria" w:cs="Calibri"/>
          <w:color w:val="000000" w:themeColor="text1"/>
        </w:rPr>
        <w:t xml:space="preserve">. </w:t>
      </w:r>
      <w:r w:rsidR="001365D6" w:rsidRPr="00C60F7B">
        <w:rPr>
          <w:rFonts w:ascii="Cambria" w:hAnsi="Cambria" w:cs="Calibri"/>
          <w:color w:val="000000" w:themeColor="text1"/>
        </w:rPr>
        <w:t xml:space="preserve">Provide a brief history of the course/curriculum, general reasons why the course satisfies the </w:t>
      </w:r>
      <w:r w:rsidR="006A0650" w:rsidRPr="00C60F7B">
        <w:rPr>
          <w:rFonts w:ascii="Cambria" w:hAnsi="Cambria" w:cs="Calibri"/>
          <w:color w:val="000000" w:themeColor="text1"/>
        </w:rPr>
        <w:t>Diversity</w:t>
      </w:r>
      <w:r w:rsidR="001365D6" w:rsidRPr="00C60F7B">
        <w:rPr>
          <w:rFonts w:ascii="Cambria" w:hAnsi="Cambria" w:cs="Calibri"/>
          <w:color w:val="000000" w:themeColor="text1"/>
        </w:rPr>
        <w:t xml:space="preserve"> Learning </w:t>
      </w:r>
      <w:r w:rsidR="001E7DF9" w:rsidRPr="00C60F7B">
        <w:rPr>
          <w:rFonts w:ascii="Cambria" w:hAnsi="Cambria" w:cs="Calibri"/>
          <w:color w:val="000000" w:themeColor="text1"/>
        </w:rPr>
        <w:t>Competencies (DLC)</w:t>
      </w:r>
      <w:r w:rsidR="001365D6" w:rsidRPr="00C60F7B">
        <w:rPr>
          <w:rFonts w:ascii="Cambria" w:hAnsi="Cambria" w:cs="Calibri"/>
          <w:color w:val="000000" w:themeColor="text1"/>
        </w:rPr>
        <w:t>, and any other contextual information that can assist the committee in its review process.</w:t>
      </w:r>
      <w:r w:rsidR="002F046F" w:rsidRPr="00C60F7B">
        <w:rPr>
          <w:rFonts w:ascii="Cambria" w:hAnsi="Cambria" w:cs="Calibri"/>
          <w:color w:val="000000" w:themeColor="text1"/>
        </w:rPr>
        <w:t xml:space="preserve">  The following are the </w:t>
      </w:r>
      <w:r w:rsidR="00115046" w:rsidRPr="00C60F7B">
        <w:rPr>
          <w:rFonts w:ascii="Cambria" w:hAnsi="Cambria" w:cs="Calibri"/>
          <w:color w:val="000000" w:themeColor="text1"/>
        </w:rPr>
        <w:t>criteria for meeting the diversity requirements:</w:t>
      </w:r>
    </w:p>
    <w:p w14:paraId="1B5DE016" w14:textId="65249105" w:rsidR="002F046F" w:rsidRPr="00C60F7B" w:rsidRDefault="002F046F" w:rsidP="001E7DF9">
      <w:pPr>
        <w:rPr>
          <w:rFonts w:ascii="Cambria" w:hAnsi="Cambria" w:cs="Calibri"/>
          <w:color w:val="000000" w:themeColor="text1"/>
        </w:rPr>
      </w:pPr>
    </w:p>
    <w:p w14:paraId="78885663" w14:textId="77777777" w:rsidR="00C33046" w:rsidRPr="00C60F7B" w:rsidRDefault="00C33046" w:rsidP="00C33046">
      <w:pPr>
        <w:rPr>
          <w:rFonts w:ascii="Cambria" w:eastAsia="Times New Roman" w:hAnsi="Cambria" w:cs="Calibri"/>
          <w:b/>
          <w:bCs/>
          <w:color w:val="444444"/>
        </w:rPr>
      </w:pPr>
      <w:r w:rsidRPr="00C60F7B">
        <w:rPr>
          <w:rFonts w:ascii="Cambria" w:eastAsia="Times New Roman" w:hAnsi="Cambria" w:cs="Calibri"/>
          <w:b/>
          <w:bCs/>
          <w:color w:val="444444"/>
        </w:rPr>
        <w:t>D1 Competencies</w:t>
      </w:r>
    </w:p>
    <w:p w14:paraId="21671837" w14:textId="77777777" w:rsidR="00C33046" w:rsidRPr="00C60F7B" w:rsidRDefault="00C33046" w:rsidP="00C33046">
      <w:pPr>
        <w:rPr>
          <w:rFonts w:ascii="Cambria" w:eastAsia="Times New Roman" w:hAnsi="Cambria" w:cs="Calibri"/>
          <w:color w:val="444444"/>
        </w:rPr>
      </w:pPr>
    </w:p>
    <w:p w14:paraId="0B18C063" w14:textId="77777777" w:rsidR="00C33046" w:rsidRPr="00C60F7B" w:rsidRDefault="00C33046" w:rsidP="00C33046">
      <w:pPr>
        <w:rPr>
          <w:rFonts w:ascii="Cambria" w:eastAsia="Times New Roman" w:hAnsi="Cambria" w:cstheme="minorHAnsi"/>
          <w:color w:val="444444"/>
        </w:rPr>
      </w:pPr>
      <w:r w:rsidRPr="00C60F7B">
        <w:rPr>
          <w:rFonts w:ascii="Cambria" w:eastAsia="Times New Roman" w:hAnsi="Cambria" w:cstheme="minorHAnsi"/>
          <w:color w:val="444444"/>
          <w:shd w:val="clear" w:color="auto" w:fill="FFFFFF"/>
        </w:rPr>
        <w:t>D1 courses focus on the topic of race and racism in the US in more than 75% of the course content (weekly topics, readings, assignments).  Students completing these courses are expected to have developed at least 3 of the 4 following competencies:</w:t>
      </w:r>
    </w:p>
    <w:p w14:paraId="4F99579A" w14:textId="77777777" w:rsidR="00C33046" w:rsidRPr="00C60F7B" w:rsidRDefault="00C33046" w:rsidP="00C33046">
      <w:pPr>
        <w:rPr>
          <w:rFonts w:ascii="Cambria" w:eastAsia="Times New Roman" w:hAnsi="Cambria" w:cs="Calibri"/>
          <w:color w:val="444444"/>
        </w:rPr>
      </w:pPr>
    </w:p>
    <w:tbl>
      <w:tblPr>
        <w:tblStyle w:val="TableGrid"/>
        <w:tblW w:w="0" w:type="auto"/>
        <w:tblLook w:val="04A0" w:firstRow="1" w:lastRow="0" w:firstColumn="1" w:lastColumn="0" w:noHBand="0" w:noVBand="1"/>
      </w:tblPr>
      <w:tblGrid>
        <w:gridCol w:w="1368"/>
        <w:gridCol w:w="2805"/>
        <w:gridCol w:w="1558"/>
        <w:gridCol w:w="2105"/>
        <w:gridCol w:w="1514"/>
      </w:tblGrid>
      <w:tr w:rsidR="00C33046" w:rsidRPr="00C60F7B" w14:paraId="0F7DE17A" w14:textId="77777777" w:rsidTr="002F606B">
        <w:tc>
          <w:tcPr>
            <w:tcW w:w="1138" w:type="dxa"/>
          </w:tcPr>
          <w:p w14:paraId="48C28D48" w14:textId="77777777" w:rsidR="00C33046" w:rsidRPr="00C60F7B" w:rsidRDefault="00C33046" w:rsidP="002F606B">
            <w:pPr>
              <w:rPr>
                <w:rFonts w:ascii="Cambria" w:eastAsia="Times New Roman" w:hAnsi="Cambria" w:cs="Calibri"/>
                <w:b/>
                <w:bCs/>
                <w:color w:val="444444"/>
              </w:rPr>
            </w:pPr>
            <w:r w:rsidRPr="00C60F7B">
              <w:rPr>
                <w:rFonts w:ascii="Cambria" w:eastAsia="Times New Roman" w:hAnsi="Cambria" w:cs="Calibri"/>
                <w:b/>
                <w:bCs/>
                <w:color w:val="444444"/>
              </w:rPr>
              <w:t>Category</w:t>
            </w:r>
          </w:p>
        </w:tc>
        <w:tc>
          <w:tcPr>
            <w:tcW w:w="4131" w:type="dxa"/>
          </w:tcPr>
          <w:p w14:paraId="6AB2D0EE" w14:textId="77777777" w:rsidR="00C33046" w:rsidRPr="00C60F7B" w:rsidRDefault="00C33046" w:rsidP="002F606B">
            <w:pPr>
              <w:rPr>
                <w:rFonts w:ascii="Cambria" w:eastAsia="Times New Roman" w:hAnsi="Cambria" w:cs="Calibri"/>
                <w:b/>
                <w:bCs/>
                <w:color w:val="444444"/>
              </w:rPr>
            </w:pPr>
            <w:r w:rsidRPr="00C60F7B">
              <w:rPr>
                <w:rFonts w:ascii="Cambria" w:eastAsia="Times New Roman" w:hAnsi="Cambria" w:cs="Calibri"/>
                <w:b/>
                <w:bCs/>
                <w:color w:val="444444"/>
              </w:rPr>
              <w:t>Competency</w:t>
            </w:r>
          </w:p>
        </w:tc>
        <w:tc>
          <w:tcPr>
            <w:tcW w:w="1288" w:type="dxa"/>
          </w:tcPr>
          <w:p w14:paraId="69062921" w14:textId="77777777" w:rsidR="00C33046" w:rsidRPr="00C60F7B" w:rsidRDefault="00C33046" w:rsidP="002F606B">
            <w:pPr>
              <w:rPr>
                <w:rFonts w:ascii="Cambria" w:eastAsia="Times New Roman" w:hAnsi="Cambria" w:cs="Calibri"/>
                <w:b/>
                <w:bCs/>
                <w:color w:val="000000" w:themeColor="text1"/>
              </w:rPr>
            </w:pPr>
            <w:r w:rsidRPr="00C60F7B">
              <w:rPr>
                <w:rFonts w:ascii="Cambria" w:eastAsia="Times New Roman" w:hAnsi="Cambria" w:cs="Calibri"/>
                <w:b/>
                <w:bCs/>
                <w:color w:val="000000" w:themeColor="text1"/>
              </w:rPr>
              <w:t>Level</w:t>
            </w:r>
          </w:p>
        </w:tc>
        <w:tc>
          <w:tcPr>
            <w:tcW w:w="1595" w:type="dxa"/>
          </w:tcPr>
          <w:p w14:paraId="2C64BBB2" w14:textId="77777777" w:rsidR="00C33046" w:rsidRPr="00C60F7B" w:rsidRDefault="00C33046" w:rsidP="002F606B">
            <w:pPr>
              <w:rPr>
                <w:rFonts w:ascii="Cambria" w:eastAsia="Times New Roman" w:hAnsi="Cambria" w:cs="Calibri"/>
                <w:b/>
                <w:bCs/>
                <w:color w:val="444444"/>
              </w:rPr>
            </w:pPr>
            <w:r w:rsidRPr="00C60F7B">
              <w:rPr>
                <w:rFonts w:ascii="Cambria" w:eastAsia="Times New Roman" w:hAnsi="Cambria" w:cs="Calibri"/>
                <w:b/>
                <w:bCs/>
                <w:color w:val="444444"/>
              </w:rPr>
              <w:t>Activities/Topics</w:t>
            </w:r>
          </w:p>
        </w:tc>
        <w:tc>
          <w:tcPr>
            <w:tcW w:w="1198" w:type="dxa"/>
          </w:tcPr>
          <w:p w14:paraId="2F8153F0" w14:textId="77777777" w:rsidR="00C33046" w:rsidRPr="00C60F7B" w:rsidRDefault="00C33046" w:rsidP="002F606B">
            <w:pPr>
              <w:rPr>
                <w:rFonts w:ascii="Cambria" w:eastAsia="Times New Roman" w:hAnsi="Cambria" w:cs="Calibri"/>
                <w:b/>
                <w:bCs/>
                <w:color w:val="444444"/>
              </w:rPr>
            </w:pPr>
            <w:r w:rsidRPr="00C60F7B">
              <w:rPr>
                <w:rFonts w:ascii="Cambria" w:eastAsia="Times New Roman" w:hAnsi="Cambria" w:cs="Calibri"/>
                <w:b/>
                <w:bCs/>
                <w:color w:val="444444"/>
              </w:rPr>
              <w:t>Assessment</w:t>
            </w:r>
          </w:p>
        </w:tc>
      </w:tr>
      <w:tr w:rsidR="00C33046" w:rsidRPr="00C60F7B" w14:paraId="6A5CD7D3" w14:textId="77777777" w:rsidTr="002F606B">
        <w:tc>
          <w:tcPr>
            <w:tcW w:w="1138" w:type="dxa"/>
          </w:tcPr>
          <w:p w14:paraId="6B3FBD24" w14:textId="77777777" w:rsidR="00C33046" w:rsidRPr="00C60F7B" w:rsidRDefault="00C33046" w:rsidP="002F606B">
            <w:pPr>
              <w:rPr>
                <w:rFonts w:ascii="Cambria" w:eastAsia="Times New Roman" w:hAnsi="Cambria" w:cs="Calibri"/>
                <w:color w:val="444444"/>
              </w:rPr>
            </w:pPr>
            <w:r w:rsidRPr="00C60F7B">
              <w:rPr>
                <w:rFonts w:ascii="Cambria" w:eastAsia="Times New Roman" w:hAnsi="Cambria" w:cs="Calibri"/>
                <w:color w:val="444444"/>
              </w:rPr>
              <w:t xml:space="preserve">DLC#1: </w:t>
            </w:r>
            <w:r w:rsidRPr="00C60F7B">
              <w:rPr>
                <w:rFonts w:ascii="Cambria" w:eastAsia="Times New Roman" w:hAnsi="Cambria" w:cs="Calibri"/>
                <w:i/>
                <w:iCs/>
                <w:color w:val="444444"/>
              </w:rPr>
              <w:t>Awareness</w:t>
            </w:r>
          </w:p>
        </w:tc>
        <w:tc>
          <w:tcPr>
            <w:tcW w:w="4131" w:type="dxa"/>
          </w:tcPr>
          <w:p w14:paraId="0747F449" w14:textId="77777777" w:rsidR="00C33046" w:rsidRPr="00C60F7B" w:rsidRDefault="00C33046" w:rsidP="002F606B">
            <w:pPr>
              <w:rPr>
                <w:rFonts w:ascii="Cambria" w:eastAsia="Times New Roman" w:hAnsi="Cambria" w:cs="Calibri"/>
              </w:rPr>
            </w:pPr>
            <w:r w:rsidRPr="00C60F7B">
              <w:rPr>
                <w:rFonts w:ascii="Cambria" w:eastAsia="Times New Roman" w:hAnsi="Cambria" w:cs="Calibri"/>
              </w:rPr>
              <w:t>Develop an awareness of race and racism in the US at the individual or systemic levels including historical and/or contemporary issues</w:t>
            </w:r>
          </w:p>
        </w:tc>
        <w:tc>
          <w:tcPr>
            <w:tcW w:w="1288" w:type="dxa"/>
          </w:tcPr>
          <w:p w14:paraId="6E733EB4"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Introductory</w:t>
            </w:r>
          </w:p>
          <w:p w14:paraId="56396358"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Intermediate</w:t>
            </w:r>
          </w:p>
          <w:p w14:paraId="72A50CCB"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Advanced</w:t>
            </w:r>
          </w:p>
        </w:tc>
        <w:tc>
          <w:tcPr>
            <w:tcW w:w="1595" w:type="dxa"/>
          </w:tcPr>
          <w:p w14:paraId="40E8C22E" w14:textId="77777777" w:rsidR="00C33046" w:rsidRPr="00C60F7B" w:rsidRDefault="00C33046" w:rsidP="002F606B">
            <w:pPr>
              <w:rPr>
                <w:rFonts w:ascii="Cambria" w:eastAsia="Times New Roman" w:hAnsi="Cambria" w:cs="Calibri"/>
                <w:color w:val="444444"/>
              </w:rPr>
            </w:pPr>
          </w:p>
        </w:tc>
        <w:tc>
          <w:tcPr>
            <w:tcW w:w="1198" w:type="dxa"/>
          </w:tcPr>
          <w:p w14:paraId="3C6E310F" w14:textId="77777777" w:rsidR="00C33046" w:rsidRPr="00C60F7B" w:rsidRDefault="00C33046" w:rsidP="002F606B">
            <w:pPr>
              <w:rPr>
                <w:rFonts w:ascii="Cambria" w:eastAsia="Times New Roman" w:hAnsi="Cambria" w:cs="Calibri"/>
                <w:color w:val="444444"/>
              </w:rPr>
            </w:pPr>
          </w:p>
        </w:tc>
      </w:tr>
      <w:tr w:rsidR="00C33046" w:rsidRPr="00C60F7B" w14:paraId="5C76C9FB" w14:textId="77777777" w:rsidTr="002F606B">
        <w:tc>
          <w:tcPr>
            <w:tcW w:w="1138" w:type="dxa"/>
          </w:tcPr>
          <w:p w14:paraId="06D0AF85" w14:textId="77777777" w:rsidR="00C33046" w:rsidRPr="00C60F7B" w:rsidRDefault="00C33046" w:rsidP="002F606B">
            <w:pPr>
              <w:rPr>
                <w:rFonts w:ascii="Cambria" w:eastAsia="Times New Roman" w:hAnsi="Cambria" w:cs="Calibri"/>
                <w:color w:val="444444"/>
              </w:rPr>
            </w:pPr>
            <w:r w:rsidRPr="00C60F7B">
              <w:rPr>
                <w:rFonts w:ascii="Cambria" w:eastAsia="Times New Roman" w:hAnsi="Cambria" w:cs="Calibri"/>
                <w:color w:val="444444"/>
              </w:rPr>
              <w:t xml:space="preserve">DLC#2: </w:t>
            </w:r>
            <w:r w:rsidRPr="00C60F7B">
              <w:rPr>
                <w:rFonts w:ascii="Cambria" w:eastAsia="Times New Roman" w:hAnsi="Cambria" w:cs="Calibri"/>
                <w:i/>
                <w:iCs/>
                <w:color w:val="444444"/>
              </w:rPr>
              <w:t>Knowledge</w:t>
            </w:r>
          </w:p>
        </w:tc>
        <w:tc>
          <w:tcPr>
            <w:tcW w:w="4131" w:type="dxa"/>
          </w:tcPr>
          <w:p w14:paraId="0EEA2A15" w14:textId="77777777" w:rsidR="00C33046" w:rsidRPr="00C60F7B" w:rsidRDefault="00C33046" w:rsidP="002F606B">
            <w:pPr>
              <w:rPr>
                <w:rFonts w:ascii="Cambria" w:eastAsia="Times New Roman" w:hAnsi="Cambria" w:cs="Calibri"/>
              </w:rPr>
            </w:pPr>
            <w:r w:rsidRPr="00C60F7B">
              <w:rPr>
                <w:rFonts w:ascii="Cambria" w:eastAsia="Times New Roman" w:hAnsi="Cambria" w:cs="Calibri"/>
              </w:rPr>
              <w:t>Understand and contextualize foundational concepts, theories, histories, frameworks and/or methodologies regarding race and racism in the US</w:t>
            </w:r>
          </w:p>
        </w:tc>
        <w:tc>
          <w:tcPr>
            <w:tcW w:w="1288" w:type="dxa"/>
          </w:tcPr>
          <w:p w14:paraId="485D13E9"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Introductory</w:t>
            </w:r>
          </w:p>
          <w:p w14:paraId="35D1B8E6"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Intermediate</w:t>
            </w:r>
          </w:p>
          <w:p w14:paraId="49AF0E92"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Advanced</w:t>
            </w:r>
          </w:p>
        </w:tc>
        <w:tc>
          <w:tcPr>
            <w:tcW w:w="1595" w:type="dxa"/>
          </w:tcPr>
          <w:p w14:paraId="5BCEC7A9" w14:textId="77777777" w:rsidR="00C33046" w:rsidRPr="00C60F7B" w:rsidRDefault="00C33046" w:rsidP="002F606B">
            <w:pPr>
              <w:rPr>
                <w:rFonts w:ascii="Cambria" w:eastAsia="Times New Roman" w:hAnsi="Cambria" w:cs="Calibri"/>
                <w:color w:val="444444"/>
              </w:rPr>
            </w:pPr>
          </w:p>
        </w:tc>
        <w:tc>
          <w:tcPr>
            <w:tcW w:w="1198" w:type="dxa"/>
          </w:tcPr>
          <w:p w14:paraId="26CE8952" w14:textId="77777777" w:rsidR="00C33046" w:rsidRPr="00C60F7B" w:rsidRDefault="00C33046" w:rsidP="002F606B">
            <w:pPr>
              <w:rPr>
                <w:rFonts w:ascii="Cambria" w:eastAsia="Times New Roman" w:hAnsi="Cambria" w:cs="Calibri"/>
                <w:color w:val="444444"/>
              </w:rPr>
            </w:pPr>
          </w:p>
        </w:tc>
      </w:tr>
      <w:tr w:rsidR="00C33046" w:rsidRPr="00C60F7B" w14:paraId="5BA8C65D" w14:textId="77777777" w:rsidTr="002F606B">
        <w:tc>
          <w:tcPr>
            <w:tcW w:w="1138" w:type="dxa"/>
          </w:tcPr>
          <w:p w14:paraId="542F8F0E" w14:textId="77777777" w:rsidR="00C33046" w:rsidRPr="00C60F7B" w:rsidRDefault="00C33046" w:rsidP="002F606B">
            <w:pPr>
              <w:rPr>
                <w:rFonts w:ascii="Cambria" w:eastAsia="Times New Roman" w:hAnsi="Cambria" w:cs="Calibri"/>
                <w:color w:val="444444"/>
              </w:rPr>
            </w:pPr>
            <w:r w:rsidRPr="00C60F7B">
              <w:rPr>
                <w:rFonts w:ascii="Cambria" w:eastAsia="Times New Roman" w:hAnsi="Cambria" w:cs="Calibri"/>
                <w:color w:val="444444"/>
              </w:rPr>
              <w:t xml:space="preserve">DLC#3: </w:t>
            </w:r>
            <w:r w:rsidRPr="00C60F7B">
              <w:rPr>
                <w:rFonts w:ascii="Cambria" w:eastAsia="Times New Roman" w:hAnsi="Cambria" w:cs="Calibri"/>
                <w:i/>
                <w:iCs/>
                <w:color w:val="444444"/>
              </w:rPr>
              <w:t>Analysis</w:t>
            </w:r>
          </w:p>
        </w:tc>
        <w:tc>
          <w:tcPr>
            <w:tcW w:w="4131" w:type="dxa"/>
          </w:tcPr>
          <w:p w14:paraId="3F8FE301" w14:textId="77777777" w:rsidR="00C33046" w:rsidRPr="00C60F7B" w:rsidRDefault="00C33046" w:rsidP="002F606B">
            <w:pPr>
              <w:rPr>
                <w:rFonts w:ascii="Cambria" w:eastAsia="Times New Roman" w:hAnsi="Cambria" w:cs="Calibri"/>
              </w:rPr>
            </w:pPr>
            <w:r w:rsidRPr="00C60F7B">
              <w:rPr>
                <w:rFonts w:ascii="Cambria" w:eastAsia="Times New Roman" w:hAnsi="Cambria" w:cs="Calibri"/>
              </w:rPr>
              <w:t>Analyze arguments, processes, and debates including multiple perspectives related to race and racism in the US</w:t>
            </w:r>
          </w:p>
        </w:tc>
        <w:tc>
          <w:tcPr>
            <w:tcW w:w="1288" w:type="dxa"/>
          </w:tcPr>
          <w:p w14:paraId="0E046BD1"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Introductory</w:t>
            </w:r>
          </w:p>
          <w:p w14:paraId="5AA8EB38"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Intermediate</w:t>
            </w:r>
          </w:p>
          <w:p w14:paraId="1D54A953"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Advanced</w:t>
            </w:r>
          </w:p>
        </w:tc>
        <w:tc>
          <w:tcPr>
            <w:tcW w:w="1595" w:type="dxa"/>
          </w:tcPr>
          <w:p w14:paraId="53F090CB" w14:textId="77777777" w:rsidR="00C33046" w:rsidRPr="00C60F7B" w:rsidRDefault="00C33046" w:rsidP="002F606B">
            <w:pPr>
              <w:rPr>
                <w:rFonts w:ascii="Cambria" w:eastAsia="Times New Roman" w:hAnsi="Cambria" w:cs="Calibri"/>
                <w:color w:val="444444"/>
              </w:rPr>
            </w:pPr>
          </w:p>
        </w:tc>
        <w:tc>
          <w:tcPr>
            <w:tcW w:w="1198" w:type="dxa"/>
          </w:tcPr>
          <w:p w14:paraId="4EEFAC10" w14:textId="77777777" w:rsidR="00C33046" w:rsidRPr="00C60F7B" w:rsidRDefault="00C33046" w:rsidP="002F606B">
            <w:pPr>
              <w:rPr>
                <w:rFonts w:ascii="Cambria" w:eastAsia="Times New Roman" w:hAnsi="Cambria" w:cs="Calibri"/>
                <w:color w:val="444444"/>
              </w:rPr>
            </w:pPr>
          </w:p>
        </w:tc>
      </w:tr>
      <w:tr w:rsidR="00C33046" w:rsidRPr="00C60F7B" w14:paraId="71B7776E" w14:textId="77777777" w:rsidTr="002F606B">
        <w:tc>
          <w:tcPr>
            <w:tcW w:w="1138" w:type="dxa"/>
          </w:tcPr>
          <w:p w14:paraId="74CED4D8"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 xml:space="preserve">DLC#4: </w:t>
            </w:r>
            <w:r w:rsidRPr="00C60F7B">
              <w:rPr>
                <w:rFonts w:ascii="Cambria" w:eastAsia="Times New Roman" w:hAnsi="Cambria" w:cs="Calibri"/>
                <w:i/>
                <w:iCs/>
                <w:color w:val="000000" w:themeColor="text1"/>
              </w:rPr>
              <w:t>Application</w:t>
            </w:r>
            <w:r w:rsidRPr="00C60F7B">
              <w:rPr>
                <w:rFonts w:ascii="Cambria" w:eastAsia="Times New Roman" w:hAnsi="Cambria" w:cs="Calibri"/>
                <w:color w:val="000000" w:themeColor="text1"/>
              </w:rPr>
              <w:t xml:space="preserve"> </w:t>
            </w:r>
          </w:p>
        </w:tc>
        <w:tc>
          <w:tcPr>
            <w:tcW w:w="4131" w:type="dxa"/>
          </w:tcPr>
          <w:p w14:paraId="3DC8545C"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Demonstrate the ability to apply theoretical knowledge to recognize and name dynamics and/or problem-solve in specific cases related to race and racism in the US</w:t>
            </w:r>
          </w:p>
        </w:tc>
        <w:tc>
          <w:tcPr>
            <w:tcW w:w="1288" w:type="dxa"/>
          </w:tcPr>
          <w:p w14:paraId="49592ADB"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Introductory</w:t>
            </w:r>
          </w:p>
          <w:p w14:paraId="7CCE00CD"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Intermediate</w:t>
            </w:r>
          </w:p>
          <w:p w14:paraId="0601B23C"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Advanced</w:t>
            </w:r>
          </w:p>
        </w:tc>
        <w:tc>
          <w:tcPr>
            <w:tcW w:w="1595" w:type="dxa"/>
          </w:tcPr>
          <w:p w14:paraId="0A1F61B8" w14:textId="77777777" w:rsidR="00C33046" w:rsidRPr="00C60F7B" w:rsidRDefault="00C33046" w:rsidP="002F606B">
            <w:pPr>
              <w:rPr>
                <w:rFonts w:ascii="Cambria" w:eastAsia="Times New Roman" w:hAnsi="Cambria" w:cs="Calibri"/>
                <w:color w:val="000000" w:themeColor="text1"/>
              </w:rPr>
            </w:pPr>
          </w:p>
        </w:tc>
        <w:tc>
          <w:tcPr>
            <w:tcW w:w="1198" w:type="dxa"/>
          </w:tcPr>
          <w:p w14:paraId="70F492FA" w14:textId="77777777" w:rsidR="00C33046" w:rsidRPr="00C60F7B" w:rsidRDefault="00C33046" w:rsidP="002F606B">
            <w:pPr>
              <w:rPr>
                <w:rFonts w:ascii="Cambria" w:eastAsia="Times New Roman" w:hAnsi="Cambria" w:cs="Calibri"/>
                <w:color w:val="000000" w:themeColor="text1"/>
              </w:rPr>
            </w:pPr>
          </w:p>
        </w:tc>
      </w:tr>
    </w:tbl>
    <w:p w14:paraId="266DA57B" w14:textId="77777777" w:rsidR="00C33046" w:rsidRPr="00C60F7B" w:rsidRDefault="00C33046" w:rsidP="00C33046">
      <w:pPr>
        <w:rPr>
          <w:rFonts w:ascii="Cambria" w:eastAsia="Times New Roman" w:hAnsi="Cambria" w:cs="Calibri"/>
          <w:color w:val="444444"/>
        </w:rPr>
      </w:pPr>
    </w:p>
    <w:p w14:paraId="20F51976" w14:textId="77777777" w:rsidR="00C33046" w:rsidRPr="00C60F7B" w:rsidRDefault="00C33046" w:rsidP="00C33046">
      <w:pPr>
        <w:rPr>
          <w:rFonts w:ascii="Cambria" w:eastAsia="Times New Roman" w:hAnsi="Cambria" w:cs="Calibri"/>
          <w:b/>
          <w:bCs/>
          <w:color w:val="444444"/>
        </w:rPr>
      </w:pPr>
      <w:r w:rsidRPr="00C60F7B">
        <w:rPr>
          <w:rFonts w:ascii="Cambria" w:eastAsia="Times New Roman" w:hAnsi="Cambria" w:cs="Calibri"/>
          <w:b/>
          <w:bCs/>
          <w:color w:val="444444"/>
        </w:rPr>
        <w:t>D2 Competencies</w:t>
      </w:r>
    </w:p>
    <w:p w14:paraId="75DE831B" w14:textId="77777777" w:rsidR="00C33046" w:rsidRPr="00C60F7B" w:rsidRDefault="00C33046" w:rsidP="00C33046">
      <w:pPr>
        <w:rPr>
          <w:rFonts w:ascii="Cambria" w:eastAsia="Times New Roman" w:hAnsi="Cambria" w:cs="Calibri"/>
          <w:color w:val="444444"/>
        </w:rPr>
      </w:pPr>
    </w:p>
    <w:p w14:paraId="74588855" w14:textId="77777777" w:rsidR="00C33046" w:rsidRPr="00C60F7B" w:rsidRDefault="00C33046" w:rsidP="00C33046">
      <w:pPr>
        <w:rPr>
          <w:rFonts w:ascii="Cambria" w:eastAsia="Times New Roman" w:hAnsi="Cambria" w:cstheme="minorHAnsi"/>
          <w:color w:val="444444"/>
        </w:rPr>
      </w:pPr>
      <w:r w:rsidRPr="00C60F7B">
        <w:rPr>
          <w:rFonts w:ascii="Cambria" w:eastAsia="Times New Roman" w:hAnsi="Cambria" w:cstheme="minorHAnsi"/>
          <w:color w:val="444444"/>
          <w:shd w:val="clear" w:color="auto" w:fill="FFFFFF"/>
        </w:rPr>
        <w:t>D2 courses focus on the topic of the diversity of human experience in more than 75% of the course content (weekly topics, readings, assignments).  Students completing these courses are expected to have developed at least 3 of the 4 following competencies:</w:t>
      </w:r>
    </w:p>
    <w:p w14:paraId="037329E1" w14:textId="77777777" w:rsidR="00C33046" w:rsidRPr="00C60F7B" w:rsidRDefault="00C33046" w:rsidP="00C33046">
      <w:pPr>
        <w:rPr>
          <w:rFonts w:ascii="Cambria" w:eastAsia="Times New Roman" w:hAnsi="Cambria" w:cs="Calibri"/>
          <w:color w:val="444444"/>
        </w:rPr>
      </w:pPr>
    </w:p>
    <w:tbl>
      <w:tblPr>
        <w:tblStyle w:val="TableGrid"/>
        <w:tblW w:w="0" w:type="auto"/>
        <w:tblLook w:val="04A0" w:firstRow="1" w:lastRow="0" w:firstColumn="1" w:lastColumn="0" w:noHBand="0" w:noVBand="1"/>
      </w:tblPr>
      <w:tblGrid>
        <w:gridCol w:w="1397"/>
        <w:gridCol w:w="2776"/>
        <w:gridCol w:w="1558"/>
        <w:gridCol w:w="2105"/>
        <w:gridCol w:w="1514"/>
      </w:tblGrid>
      <w:tr w:rsidR="00C33046" w:rsidRPr="00C60F7B" w14:paraId="244AA47F" w14:textId="77777777" w:rsidTr="002F606B">
        <w:tc>
          <w:tcPr>
            <w:tcW w:w="1165" w:type="dxa"/>
          </w:tcPr>
          <w:p w14:paraId="741A6019" w14:textId="77777777" w:rsidR="00C33046" w:rsidRPr="00C60F7B" w:rsidRDefault="00C33046" w:rsidP="002F606B">
            <w:pPr>
              <w:rPr>
                <w:rFonts w:ascii="Cambria" w:eastAsia="Times New Roman" w:hAnsi="Cambria" w:cs="Calibri"/>
                <w:b/>
                <w:bCs/>
                <w:color w:val="000000" w:themeColor="text1"/>
              </w:rPr>
            </w:pPr>
            <w:r w:rsidRPr="00C60F7B">
              <w:rPr>
                <w:rFonts w:ascii="Cambria" w:eastAsia="Times New Roman" w:hAnsi="Cambria" w:cs="Calibri"/>
                <w:b/>
                <w:bCs/>
                <w:color w:val="000000" w:themeColor="text1"/>
              </w:rPr>
              <w:t>Category</w:t>
            </w:r>
          </w:p>
        </w:tc>
        <w:tc>
          <w:tcPr>
            <w:tcW w:w="4057" w:type="dxa"/>
          </w:tcPr>
          <w:p w14:paraId="32E5843D" w14:textId="77777777" w:rsidR="00C33046" w:rsidRPr="00C60F7B" w:rsidRDefault="00C33046" w:rsidP="002F606B">
            <w:pPr>
              <w:rPr>
                <w:rFonts w:ascii="Cambria" w:eastAsia="Times New Roman" w:hAnsi="Cambria" w:cs="Calibri"/>
                <w:b/>
                <w:bCs/>
                <w:color w:val="000000" w:themeColor="text1"/>
              </w:rPr>
            </w:pPr>
            <w:r w:rsidRPr="00C60F7B">
              <w:rPr>
                <w:rFonts w:ascii="Cambria" w:eastAsia="Times New Roman" w:hAnsi="Cambria" w:cs="Calibri"/>
                <w:b/>
                <w:bCs/>
                <w:color w:val="000000" w:themeColor="text1"/>
              </w:rPr>
              <w:t>Competency</w:t>
            </w:r>
          </w:p>
        </w:tc>
        <w:tc>
          <w:tcPr>
            <w:tcW w:w="1281" w:type="dxa"/>
          </w:tcPr>
          <w:p w14:paraId="2A0ED408" w14:textId="77777777" w:rsidR="00C33046" w:rsidRPr="00C60F7B" w:rsidRDefault="00C33046" w:rsidP="002F606B">
            <w:pPr>
              <w:rPr>
                <w:rFonts w:ascii="Cambria" w:eastAsia="Times New Roman" w:hAnsi="Cambria" w:cs="Calibri"/>
                <w:b/>
                <w:bCs/>
                <w:color w:val="000000" w:themeColor="text1"/>
              </w:rPr>
            </w:pPr>
            <w:r w:rsidRPr="00C60F7B">
              <w:rPr>
                <w:rFonts w:ascii="Cambria" w:eastAsia="Times New Roman" w:hAnsi="Cambria" w:cs="Calibri"/>
                <w:b/>
                <w:bCs/>
                <w:color w:val="000000" w:themeColor="text1"/>
              </w:rPr>
              <w:t>Level</w:t>
            </w:r>
          </w:p>
        </w:tc>
        <w:tc>
          <w:tcPr>
            <w:tcW w:w="1595" w:type="dxa"/>
          </w:tcPr>
          <w:p w14:paraId="15E8EF68" w14:textId="77777777" w:rsidR="00C33046" w:rsidRPr="00C60F7B" w:rsidRDefault="00C33046" w:rsidP="002F606B">
            <w:pPr>
              <w:rPr>
                <w:rFonts w:ascii="Cambria" w:eastAsia="Times New Roman" w:hAnsi="Cambria" w:cs="Calibri"/>
                <w:b/>
                <w:bCs/>
                <w:color w:val="000000" w:themeColor="text1"/>
              </w:rPr>
            </w:pPr>
            <w:r w:rsidRPr="00C60F7B">
              <w:rPr>
                <w:rFonts w:ascii="Cambria" w:eastAsia="Times New Roman" w:hAnsi="Cambria" w:cs="Calibri"/>
                <w:b/>
                <w:bCs/>
                <w:color w:val="000000" w:themeColor="text1"/>
              </w:rPr>
              <w:t>Activities/Topics</w:t>
            </w:r>
          </w:p>
        </w:tc>
        <w:tc>
          <w:tcPr>
            <w:tcW w:w="1252" w:type="dxa"/>
          </w:tcPr>
          <w:p w14:paraId="24351A9C" w14:textId="77777777" w:rsidR="00C33046" w:rsidRPr="00C60F7B" w:rsidRDefault="00C33046" w:rsidP="002F606B">
            <w:pPr>
              <w:rPr>
                <w:rFonts w:ascii="Cambria" w:eastAsia="Times New Roman" w:hAnsi="Cambria" w:cs="Calibri"/>
                <w:b/>
                <w:bCs/>
                <w:color w:val="000000" w:themeColor="text1"/>
              </w:rPr>
            </w:pPr>
            <w:r w:rsidRPr="00C60F7B">
              <w:rPr>
                <w:rFonts w:ascii="Cambria" w:eastAsia="Times New Roman" w:hAnsi="Cambria" w:cs="Calibri"/>
                <w:b/>
                <w:bCs/>
                <w:color w:val="000000" w:themeColor="text1"/>
              </w:rPr>
              <w:t>Assessment</w:t>
            </w:r>
          </w:p>
        </w:tc>
      </w:tr>
      <w:tr w:rsidR="00C33046" w:rsidRPr="00C60F7B" w14:paraId="6A46BE84" w14:textId="77777777" w:rsidTr="002F606B">
        <w:tc>
          <w:tcPr>
            <w:tcW w:w="1165" w:type="dxa"/>
          </w:tcPr>
          <w:p w14:paraId="5E955D19"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lastRenderedPageBreak/>
              <w:t>DLC#1: Awareness</w:t>
            </w:r>
          </w:p>
        </w:tc>
        <w:tc>
          <w:tcPr>
            <w:tcW w:w="4057" w:type="dxa"/>
          </w:tcPr>
          <w:p w14:paraId="2321746E"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Develop an awareness of the diversity of individuals, cultures, communities and/or processes</w:t>
            </w:r>
          </w:p>
        </w:tc>
        <w:tc>
          <w:tcPr>
            <w:tcW w:w="1281" w:type="dxa"/>
          </w:tcPr>
          <w:p w14:paraId="557C6C76"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Introductory</w:t>
            </w:r>
          </w:p>
          <w:p w14:paraId="2159D62B"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Intermediate</w:t>
            </w:r>
          </w:p>
          <w:p w14:paraId="0E79E74C"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Advanced</w:t>
            </w:r>
          </w:p>
        </w:tc>
        <w:tc>
          <w:tcPr>
            <w:tcW w:w="1595" w:type="dxa"/>
          </w:tcPr>
          <w:p w14:paraId="75AB0082" w14:textId="77777777" w:rsidR="00C33046" w:rsidRPr="00C60F7B" w:rsidRDefault="00C33046" w:rsidP="002F606B">
            <w:pPr>
              <w:rPr>
                <w:rFonts w:ascii="Cambria" w:eastAsia="Times New Roman" w:hAnsi="Cambria" w:cs="Calibri"/>
                <w:color w:val="000000" w:themeColor="text1"/>
              </w:rPr>
            </w:pPr>
          </w:p>
        </w:tc>
        <w:tc>
          <w:tcPr>
            <w:tcW w:w="1252" w:type="dxa"/>
          </w:tcPr>
          <w:p w14:paraId="3C3F7A61" w14:textId="77777777" w:rsidR="00C33046" w:rsidRPr="00C60F7B" w:rsidRDefault="00C33046" w:rsidP="002F606B">
            <w:pPr>
              <w:rPr>
                <w:rFonts w:ascii="Cambria" w:eastAsia="Times New Roman" w:hAnsi="Cambria" w:cs="Calibri"/>
                <w:color w:val="000000" w:themeColor="text1"/>
              </w:rPr>
            </w:pPr>
          </w:p>
        </w:tc>
      </w:tr>
      <w:tr w:rsidR="00C33046" w:rsidRPr="00C60F7B" w14:paraId="45D41AB7" w14:textId="77777777" w:rsidTr="002F606B">
        <w:tc>
          <w:tcPr>
            <w:tcW w:w="1165" w:type="dxa"/>
          </w:tcPr>
          <w:p w14:paraId="3707C1A5"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DLC#2:</w:t>
            </w:r>
          </w:p>
          <w:p w14:paraId="3F9C9BCD"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Knowledge</w:t>
            </w:r>
          </w:p>
        </w:tc>
        <w:tc>
          <w:tcPr>
            <w:tcW w:w="4057" w:type="dxa"/>
          </w:tcPr>
          <w:p w14:paraId="7611DE89"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Understand and contextualize foundational concepts, theories, histories, frameworks and/or methodologies regarding the diversity of the human experience</w:t>
            </w:r>
          </w:p>
        </w:tc>
        <w:tc>
          <w:tcPr>
            <w:tcW w:w="1281" w:type="dxa"/>
          </w:tcPr>
          <w:p w14:paraId="26933085"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Introductory</w:t>
            </w:r>
          </w:p>
          <w:p w14:paraId="77B936CE"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Intermediate</w:t>
            </w:r>
          </w:p>
          <w:p w14:paraId="17786A89"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Advanced</w:t>
            </w:r>
          </w:p>
        </w:tc>
        <w:tc>
          <w:tcPr>
            <w:tcW w:w="1595" w:type="dxa"/>
          </w:tcPr>
          <w:p w14:paraId="019BBA41" w14:textId="77777777" w:rsidR="00C33046" w:rsidRPr="00C60F7B" w:rsidRDefault="00C33046" w:rsidP="002F606B">
            <w:pPr>
              <w:rPr>
                <w:rFonts w:ascii="Cambria" w:eastAsia="Times New Roman" w:hAnsi="Cambria" w:cs="Calibri"/>
                <w:color w:val="000000" w:themeColor="text1"/>
              </w:rPr>
            </w:pPr>
          </w:p>
        </w:tc>
        <w:tc>
          <w:tcPr>
            <w:tcW w:w="1252" w:type="dxa"/>
          </w:tcPr>
          <w:p w14:paraId="4E44F0BB" w14:textId="77777777" w:rsidR="00C33046" w:rsidRPr="00C60F7B" w:rsidRDefault="00C33046" w:rsidP="002F606B">
            <w:pPr>
              <w:rPr>
                <w:rFonts w:ascii="Cambria" w:eastAsia="Times New Roman" w:hAnsi="Cambria" w:cs="Calibri"/>
                <w:color w:val="000000" w:themeColor="text1"/>
              </w:rPr>
            </w:pPr>
          </w:p>
        </w:tc>
      </w:tr>
      <w:tr w:rsidR="00C33046" w:rsidRPr="00C60F7B" w14:paraId="038587D1" w14:textId="77777777" w:rsidTr="002F606B">
        <w:tc>
          <w:tcPr>
            <w:tcW w:w="1165" w:type="dxa"/>
          </w:tcPr>
          <w:p w14:paraId="7511A92E"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DLC#3: Analysis</w:t>
            </w:r>
          </w:p>
        </w:tc>
        <w:tc>
          <w:tcPr>
            <w:tcW w:w="4057" w:type="dxa"/>
          </w:tcPr>
          <w:p w14:paraId="41944D96"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Analyze arguments, processes, and debates including multiple perspectives related to the diversity of the human experience</w:t>
            </w:r>
          </w:p>
        </w:tc>
        <w:tc>
          <w:tcPr>
            <w:tcW w:w="1281" w:type="dxa"/>
          </w:tcPr>
          <w:p w14:paraId="71714157"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Introductory</w:t>
            </w:r>
          </w:p>
          <w:p w14:paraId="20E49C3F"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Intermediate</w:t>
            </w:r>
          </w:p>
          <w:p w14:paraId="7D4AD741"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Advanced</w:t>
            </w:r>
          </w:p>
        </w:tc>
        <w:tc>
          <w:tcPr>
            <w:tcW w:w="1595" w:type="dxa"/>
          </w:tcPr>
          <w:p w14:paraId="3B30C58F" w14:textId="77777777" w:rsidR="00C33046" w:rsidRPr="00C60F7B" w:rsidRDefault="00C33046" w:rsidP="002F606B">
            <w:pPr>
              <w:rPr>
                <w:rFonts w:ascii="Cambria" w:eastAsia="Times New Roman" w:hAnsi="Cambria" w:cs="Calibri"/>
                <w:color w:val="000000" w:themeColor="text1"/>
              </w:rPr>
            </w:pPr>
          </w:p>
        </w:tc>
        <w:tc>
          <w:tcPr>
            <w:tcW w:w="1252" w:type="dxa"/>
          </w:tcPr>
          <w:p w14:paraId="5917DCFC" w14:textId="77777777" w:rsidR="00C33046" w:rsidRPr="00C60F7B" w:rsidRDefault="00C33046" w:rsidP="002F606B">
            <w:pPr>
              <w:rPr>
                <w:rFonts w:ascii="Cambria" w:eastAsia="Times New Roman" w:hAnsi="Cambria" w:cs="Calibri"/>
                <w:color w:val="000000" w:themeColor="text1"/>
              </w:rPr>
            </w:pPr>
          </w:p>
        </w:tc>
      </w:tr>
      <w:tr w:rsidR="00C33046" w:rsidRPr="00C60F7B" w14:paraId="11BDD9EF" w14:textId="77777777" w:rsidTr="002F606B">
        <w:tc>
          <w:tcPr>
            <w:tcW w:w="1165" w:type="dxa"/>
          </w:tcPr>
          <w:p w14:paraId="34B80F5B"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 xml:space="preserve">DLC#4: Application </w:t>
            </w:r>
          </w:p>
        </w:tc>
        <w:tc>
          <w:tcPr>
            <w:tcW w:w="4057" w:type="dxa"/>
          </w:tcPr>
          <w:p w14:paraId="1431D2E7"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rPr>
              <w:t>Demonstrate the ability to recognize identity-related power dynamics at the individual, group, and/or systems levels and/or address diversity-related problems.</w:t>
            </w:r>
          </w:p>
        </w:tc>
        <w:tc>
          <w:tcPr>
            <w:tcW w:w="1281" w:type="dxa"/>
          </w:tcPr>
          <w:p w14:paraId="5674AE46"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Introductory</w:t>
            </w:r>
          </w:p>
          <w:p w14:paraId="554EA2C6"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Intermediate</w:t>
            </w:r>
          </w:p>
          <w:p w14:paraId="44C75C9F" w14:textId="77777777" w:rsidR="00C33046" w:rsidRPr="00C60F7B" w:rsidRDefault="00C33046" w:rsidP="002F606B">
            <w:pPr>
              <w:rPr>
                <w:rFonts w:ascii="Cambria" w:eastAsia="Times New Roman" w:hAnsi="Cambria" w:cs="Calibri"/>
                <w:color w:val="000000" w:themeColor="text1"/>
              </w:rPr>
            </w:pPr>
            <w:r w:rsidRPr="00C60F7B">
              <w:rPr>
                <w:rFonts w:ascii="Cambria" w:eastAsia="Times New Roman" w:hAnsi="Cambria" w:cs="Calibri"/>
                <w:color w:val="000000" w:themeColor="text1"/>
              </w:rPr>
              <w:t>Advanced</w:t>
            </w:r>
          </w:p>
        </w:tc>
        <w:tc>
          <w:tcPr>
            <w:tcW w:w="1595" w:type="dxa"/>
          </w:tcPr>
          <w:p w14:paraId="2F391FAC" w14:textId="77777777" w:rsidR="00C33046" w:rsidRPr="00C60F7B" w:rsidRDefault="00C33046" w:rsidP="002F606B">
            <w:pPr>
              <w:rPr>
                <w:rFonts w:ascii="Cambria" w:eastAsia="Times New Roman" w:hAnsi="Cambria" w:cs="Calibri"/>
                <w:color w:val="000000" w:themeColor="text1"/>
              </w:rPr>
            </w:pPr>
          </w:p>
        </w:tc>
        <w:tc>
          <w:tcPr>
            <w:tcW w:w="1252" w:type="dxa"/>
          </w:tcPr>
          <w:p w14:paraId="3D80D024" w14:textId="77777777" w:rsidR="00C33046" w:rsidRPr="00C60F7B" w:rsidRDefault="00C33046" w:rsidP="002F606B">
            <w:pPr>
              <w:rPr>
                <w:rFonts w:ascii="Cambria" w:eastAsia="Times New Roman" w:hAnsi="Cambria" w:cs="Calibri"/>
                <w:color w:val="000000" w:themeColor="text1"/>
              </w:rPr>
            </w:pPr>
          </w:p>
        </w:tc>
      </w:tr>
    </w:tbl>
    <w:p w14:paraId="3B5E6C08" w14:textId="77777777" w:rsidR="00C33046" w:rsidRPr="00C60F7B" w:rsidRDefault="00C33046" w:rsidP="00C33046">
      <w:pPr>
        <w:rPr>
          <w:rFonts w:ascii="Cambria" w:eastAsia="Times New Roman" w:hAnsi="Cambria" w:cstheme="minorHAnsi"/>
          <w:color w:val="444444"/>
          <w:shd w:val="clear" w:color="auto" w:fill="FFFFFF"/>
        </w:rPr>
      </w:pPr>
    </w:p>
    <w:p w14:paraId="03FADD6C" w14:textId="77777777" w:rsidR="009C3CB0" w:rsidRPr="00C60F7B" w:rsidRDefault="009C3CB0">
      <w:pPr>
        <w:rPr>
          <w:rFonts w:ascii="Cambria" w:hAnsi="Cambria" w:cs="Calibri"/>
          <w:i/>
          <w:iCs/>
          <w:color w:val="000000" w:themeColor="text1"/>
        </w:rPr>
      </w:pPr>
      <w:r w:rsidRPr="00C60F7B">
        <w:rPr>
          <w:rFonts w:ascii="Cambria" w:hAnsi="Cambria" w:cs="Calibri"/>
          <w:i/>
          <w:iCs/>
          <w:color w:val="000000" w:themeColor="text1"/>
        </w:rPr>
        <w:br w:type="page"/>
      </w:r>
    </w:p>
    <w:p w14:paraId="641A9153" w14:textId="046A7AEF" w:rsidR="000D5BCE" w:rsidRPr="00C60F7B" w:rsidRDefault="008A7A5F">
      <w:pPr>
        <w:rPr>
          <w:rFonts w:ascii="Cambria" w:hAnsi="Cambria" w:cs="Calibri"/>
          <w:i/>
          <w:iCs/>
          <w:color w:val="000000" w:themeColor="text1"/>
        </w:rPr>
      </w:pPr>
      <w:r w:rsidRPr="0008190F">
        <w:rPr>
          <w:rFonts w:ascii="Cambria" w:hAnsi="Cambria" w:cs="Calibri"/>
          <w:i/>
          <w:iCs/>
          <w:color w:val="002060"/>
        </w:rPr>
        <w:lastRenderedPageBreak/>
        <w:t>If yes -</w:t>
      </w:r>
      <w:r w:rsidRPr="0008190F">
        <w:rPr>
          <w:rFonts w:ascii="Cambria" w:hAnsi="Cambria" w:cs="Calibri"/>
          <w:color w:val="002060"/>
        </w:rPr>
        <w:t xml:space="preserve"> </w:t>
      </w:r>
      <w:r w:rsidR="000D5BCE" w:rsidRPr="0008190F">
        <w:rPr>
          <w:rFonts w:ascii="Cambria" w:hAnsi="Cambria" w:cs="Calibri"/>
          <w:i/>
          <w:iCs/>
          <w:color w:val="002060"/>
        </w:rPr>
        <w:t>fill out the existing form below</w:t>
      </w:r>
      <w:r w:rsidR="000D5BCE" w:rsidRPr="00C60F7B">
        <w:rPr>
          <w:rFonts w:ascii="Cambria" w:hAnsi="Cambria" w:cs="Calibri"/>
          <w:i/>
          <w:iCs/>
          <w:color w:val="000000" w:themeColor="text1"/>
        </w:rPr>
        <w:t>:</w:t>
      </w:r>
    </w:p>
    <w:p w14:paraId="70603A76" w14:textId="77777777" w:rsidR="000D5BCE" w:rsidRPr="00C60F7B" w:rsidRDefault="000D5BCE">
      <w:pPr>
        <w:rPr>
          <w:rFonts w:ascii="Cambria" w:hAnsi="Cambria" w:cs="Calibri"/>
          <w:i/>
          <w:iCs/>
          <w:color w:val="000000" w:themeColor="text1"/>
        </w:rPr>
      </w:pPr>
    </w:p>
    <w:p w14:paraId="331F9498" w14:textId="77777777" w:rsidR="00991AA6" w:rsidRPr="00C60F7B" w:rsidRDefault="00991AA6" w:rsidP="001365D6">
      <w:pPr>
        <w:pStyle w:val="ListParagraph"/>
        <w:numPr>
          <w:ilvl w:val="0"/>
          <w:numId w:val="4"/>
        </w:numPr>
        <w:rPr>
          <w:rFonts w:ascii="Cambria" w:hAnsi="Cambria" w:cs="Calibri"/>
          <w:color w:val="000000" w:themeColor="text1"/>
        </w:rPr>
      </w:pPr>
      <w:r w:rsidRPr="00C60F7B">
        <w:rPr>
          <w:rFonts w:ascii="Cambria" w:hAnsi="Cambria" w:cs="Calibri"/>
          <w:color w:val="000000" w:themeColor="text1"/>
        </w:rPr>
        <w:t xml:space="preserve">Submit most current </w:t>
      </w:r>
      <w:r w:rsidR="008A7A5F" w:rsidRPr="00C60F7B">
        <w:rPr>
          <w:rFonts w:ascii="Cambria" w:hAnsi="Cambria" w:cs="Calibri"/>
          <w:color w:val="000000" w:themeColor="text1"/>
        </w:rPr>
        <w:t xml:space="preserve">course </w:t>
      </w:r>
      <w:r w:rsidRPr="00C60F7B">
        <w:rPr>
          <w:rFonts w:ascii="Cambria" w:hAnsi="Cambria" w:cs="Calibri"/>
          <w:color w:val="000000" w:themeColor="text1"/>
        </w:rPr>
        <w:t>syllabus</w:t>
      </w:r>
    </w:p>
    <w:p w14:paraId="5D946475" w14:textId="77777777" w:rsidR="00991AA6" w:rsidRPr="00C60F7B" w:rsidRDefault="00991AA6" w:rsidP="001365D6">
      <w:pPr>
        <w:pStyle w:val="ListParagraph"/>
        <w:numPr>
          <w:ilvl w:val="0"/>
          <w:numId w:val="4"/>
        </w:numPr>
        <w:rPr>
          <w:rFonts w:ascii="Cambria" w:hAnsi="Cambria" w:cs="Calibri"/>
          <w:color w:val="000000" w:themeColor="text1"/>
        </w:rPr>
      </w:pPr>
      <w:r w:rsidRPr="00C60F7B">
        <w:rPr>
          <w:rFonts w:ascii="Cambria" w:hAnsi="Cambria" w:cs="Calibri"/>
          <w:color w:val="000000" w:themeColor="text1"/>
        </w:rPr>
        <w:t>Review original proposal</w:t>
      </w:r>
      <w:r w:rsidR="008A7A5F" w:rsidRPr="00C60F7B">
        <w:rPr>
          <w:rFonts w:ascii="Cambria" w:hAnsi="Cambria" w:cs="Calibri"/>
          <w:color w:val="000000" w:themeColor="text1"/>
        </w:rPr>
        <w:t>, and please provide a reflection (no more than 1- 1.5 pages) that addresses the following:</w:t>
      </w:r>
    </w:p>
    <w:p w14:paraId="20DEC328" w14:textId="77777777" w:rsidR="001365D6" w:rsidRPr="00C60F7B" w:rsidRDefault="001365D6" w:rsidP="008A7A5F">
      <w:pPr>
        <w:rPr>
          <w:rFonts w:ascii="Cambria" w:hAnsi="Cambria" w:cs="Calibri"/>
          <w:color w:val="000000" w:themeColor="text1"/>
        </w:rPr>
      </w:pPr>
    </w:p>
    <w:p w14:paraId="1CF1A987" w14:textId="792BA962" w:rsidR="008A7A5F" w:rsidRPr="00C60F7B" w:rsidRDefault="008A7A5F" w:rsidP="001365D6">
      <w:pPr>
        <w:pStyle w:val="ListParagraph"/>
        <w:numPr>
          <w:ilvl w:val="0"/>
          <w:numId w:val="3"/>
        </w:numPr>
        <w:rPr>
          <w:rFonts w:ascii="Cambria" w:hAnsi="Cambria" w:cs="Calibri"/>
          <w:color w:val="000000" w:themeColor="text1"/>
        </w:rPr>
      </w:pPr>
      <w:r w:rsidRPr="00C60F7B">
        <w:rPr>
          <w:rFonts w:ascii="Cambria" w:hAnsi="Cambria" w:cs="Calibri"/>
          <w:color w:val="000000" w:themeColor="text1"/>
        </w:rPr>
        <w:t>What have you changed about the course from 5 years ago</w:t>
      </w:r>
      <w:r w:rsidR="00615727" w:rsidRPr="00C60F7B">
        <w:rPr>
          <w:rFonts w:ascii="Cambria" w:hAnsi="Cambria" w:cs="Calibri"/>
          <w:color w:val="000000" w:themeColor="text1"/>
        </w:rPr>
        <w:t xml:space="preserve"> as related to the </w:t>
      </w:r>
      <w:r w:rsidR="000D5BCE" w:rsidRPr="00C60F7B">
        <w:rPr>
          <w:rFonts w:ascii="Cambria" w:hAnsi="Cambria" w:cs="Calibri"/>
          <w:color w:val="000000" w:themeColor="text1"/>
        </w:rPr>
        <w:t>Diversity Learning Competencies (DLCs)</w:t>
      </w:r>
      <w:r w:rsidRPr="00C60F7B">
        <w:rPr>
          <w:rFonts w:ascii="Cambria" w:hAnsi="Cambria" w:cs="Calibri"/>
          <w:color w:val="000000" w:themeColor="text1"/>
        </w:rPr>
        <w:t>?</w:t>
      </w:r>
    </w:p>
    <w:p w14:paraId="7E016B44" w14:textId="41DD6590" w:rsidR="008A7A5F" w:rsidRPr="00C60F7B" w:rsidRDefault="008A7A5F" w:rsidP="001365D6">
      <w:pPr>
        <w:pStyle w:val="ListParagraph"/>
        <w:numPr>
          <w:ilvl w:val="0"/>
          <w:numId w:val="3"/>
        </w:numPr>
        <w:rPr>
          <w:rFonts w:ascii="Cambria" w:hAnsi="Cambria" w:cs="Calibri"/>
          <w:color w:val="000000" w:themeColor="text1"/>
        </w:rPr>
      </w:pPr>
      <w:r w:rsidRPr="00C60F7B">
        <w:rPr>
          <w:rFonts w:ascii="Cambria" w:hAnsi="Cambria" w:cs="Calibri"/>
          <w:color w:val="000000" w:themeColor="text1"/>
        </w:rPr>
        <w:t xml:space="preserve">Which of the </w:t>
      </w:r>
      <w:r w:rsidR="00115046" w:rsidRPr="00C60F7B">
        <w:rPr>
          <w:rFonts w:ascii="Cambria" w:hAnsi="Cambria" w:cs="Calibri"/>
          <w:color w:val="000000" w:themeColor="text1"/>
        </w:rPr>
        <w:t xml:space="preserve">Diversity Learning Competencies </w:t>
      </w:r>
      <w:r w:rsidRPr="00C60F7B">
        <w:rPr>
          <w:rFonts w:ascii="Cambria" w:hAnsi="Cambria" w:cs="Calibri"/>
          <w:color w:val="000000" w:themeColor="text1"/>
        </w:rPr>
        <w:t>(</w:t>
      </w:r>
      <w:r w:rsidR="00115046" w:rsidRPr="00C60F7B">
        <w:rPr>
          <w:rFonts w:ascii="Cambria" w:hAnsi="Cambria" w:cs="Calibri"/>
          <w:color w:val="000000" w:themeColor="text1"/>
        </w:rPr>
        <w:t>DLC</w:t>
      </w:r>
      <w:r w:rsidRPr="00C60F7B">
        <w:rPr>
          <w:rFonts w:ascii="Cambria" w:hAnsi="Cambria" w:cs="Calibri"/>
          <w:color w:val="000000" w:themeColor="text1"/>
        </w:rPr>
        <w:t>s) do you feel like your students are meeting the best and why?</w:t>
      </w:r>
    </w:p>
    <w:p w14:paraId="177D1DFF" w14:textId="329B1D1D" w:rsidR="008A7A5F" w:rsidRPr="00C60F7B" w:rsidRDefault="001365D6" w:rsidP="001365D6">
      <w:pPr>
        <w:pStyle w:val="ListParagraph"/>
        <w:numPr>
          <w:ilvl w:val="0"/>
          <w:numId w:val="3"/>
        </w:numPr>
        <w:rPr>
          <w:rFonts w:ascii="Cambria" w:hAnsi="Cambria" w:cs="Calibri"/>
          <w:color w:val="000000" w:themeColor="text1"/>
        </w:rPr>
      </w:pPr>
      <w:r w:rsidRPr="00C60F7B">
        <w:rPr>
          <w:rFonts w:ascii="Cambria" w:hAnsi="Cambria" w:cs="Calibri"/>
          <w:color w:val="000000" w:themeColor="text1"/>
        </w:rPr>
        <w:t>If applicable, w</w:t>
      </w:r>
      <w:r w:rsidR="008A7A5F" w:rsidRPr="00C60F7B">
        <w:rPr>
          <w:rFonts w:ascii="Cambria" w:hAnsi="Cambria" w:cs="Calibri"/>
          <w:color w:val="000000" w:themeColor="text1"/>
        </w:rPr>
        <w:t xml:space="preserve">hich of the </w:t>
      </w:r>
      <w:r w:rsidR="00115046" w:rsidRPr="00C60F7B">
        <w:rPr>
          <w:rFonts w:ascii="Cambria" w:hAnsi="Cambria" w:cs="Calibri"/>
          <w:color w:val="000000" w:themeColor="text1"/>
        </w:rPr>
        <w:t>DLC</w:t>
      </w:r>
      <w:r w:rsidR="008A7A5F" w:rsidRPr="00C60F7B">
        <w:rPr>
          <w:rFonts w:ascii="Cambria" w:hAnsi="Cambria" w:cs="Calibri"/>
          <w:color w:val="000000" w:themeColor="text1"/>
        </w:rPr>
        <w:t>s are you still working to improve</w:t>
      </w:r>
      <w:r w:rsidRPr="00C60F7B">
        <w:rPr>
          <w:rFonts w:ascii="Cambria" w:hAnsi="Cambria" w:cs="Calibri"/>
          <w:color w:val="000000" w:themeColor="text1"/>
        </w:rPr>
        <w:t xml:space="preserve"> and how?</w:t>
      </w:r>
    </w:p>
    <w:p w14:paraId="35F470B7" w14:textId="77777777" w:rsidR="00991AA6" w:rsidRPr="00C60F7B" w:rsidRDefault="00991AA6">
      <w:pPr>
        <w:rPr>
          <w:rFonts w:ascii="Cambria" w:hAnsi="Cambria" w:cs="Calibri"/>
          <w:color w:val="000000" w:themeColor="text1"/>
        </w:rPr>
      </w:pPr>
    </w:p>
    <w:p w14:paraId="39DCD46B" w14:textId="1C2DA0BF" w:rsidR="007902B3" w:rsidRDefault="007902B3">
      <w:pPr>
        <w:rPr>
          <w:rFonts w:ascii="Cambria" w:hAnsi="Cambria" w:cs="Calibri"/>
          <w:color w:val="000000" w:themeColor="text1"/>
        </w:rPr>
      </w:pPr>
      <w:r>
        <w:rPr>
          <w:rFonts w:ascii="Cambria" w:hAnsi="Cambria" w:cs="Calibri"/>
          <w:color w:val="000000" w:themeColor="text1"/>
        </w:rPr>
        <w:br w:type="page"/>
      </w:r>
    </w:p>
    <w:p w14:paraId="4D8B34B6" w14:textId="77777777" w:rsidR="007902B3" w:rsidRDefault="007902B3" w:rsidP="007902B3">
      <w:r>
        <w:lastRenderedPageBreak/>
        <w:t>DCRC Rubric for Review of New Submissions and Existing Courses</w:t>
      </w:r>
    </w:p>
    <w:p w14:paraId="707205E7" w14:textId="77777777" w:rsidR="007902B3" w:rsidRDefault="007902B3" w:rsidP="007902B3"/>
    <w:tbl>
      <w:tblPr>
        <w:tblStyle w:val="TableGrid"/>
        <w:tblW w:w="0" w:type="auto"/>
        <w:tblLook w:val="04A0" w:firstRow="1" w:lastRow="0" w:firstColumn="1" w:lastColumn="0" w:noHBand="0" w:noVBand="1"/>
      </w:tblPr>
      <w:tblGrid>
        <w:gridCol w:w="2008"/>
        <w:gridCol w:w="3099"/>
        <w:gridCol w:w="1822"/>
        <w:gridCol w:w="1526"/>
        <w:gridCol w:w="895"/>
      </w:tblGrid>
      <w:tr w:rsidR="007902B3" w:rsidRPr="007F6CAA" w14:paraId="1490FF31" w14:textId="77777777" w:rsidTr="006711E7">
        <w:tc>
          <w:tcPr>
            <w:tcW w:w="2572" w:type="dxa"/>
          </w:tcPr>
          <w:p w14:paraId="61595C50" w14:textId="77777777" w:rsidR="007902B3" w:rsidRPr="007F6CAA" w:rsidRDefault="007902B3" w:rsidP="006711E7">
            <w:pPr>
              <w:rPr>
                <w:b/>
                <w:bCs/>
              </w:rPr>
            </w:pPr>
            <w:r w:rsidRPr="007F6CAA">
              <w:rPr>
                <w:b/>
                <w:bCs/>
              </w:rPr>
              <w:t>Category</w:t>
            </w:r>
          </w:p>
        </w:tc>
        <w:tc>
          <w:tcPr>
            <w:tcW w:w="5433" w:type="dxa"/>
          </w:tcPr>
          <w:p w14:paraId="3C374A65" w14:textId="77777777" w:rsidR="007902B3" w:rsidRPr="007F6CAA" w:rsidRDefault="007902B3" w:rsidP="006711E7">
            <w:pPr>
              <w:rPr>
                <w:b/>
                <w:bCs/>
              </w:rPr>
            </w:pPr>
            <w:r w:rsidRPr="007F6CAA">
              <w:rPr>
                <w:b/>
                <w:bCs/>
              </w:rPr>
              <w:t>Expectations</w:t>
            </w:r>
          </w:p>
        </w:tc>
        <w:tc>
          <w:tcPr>
            <w:tcW w:w="2070" w:type="dxa"/>
          </w:tcPr>
          <w:p w14:paraId="302DDCA9" w14:textId="77777777" w:rsidR="007902B3" w:rsidRPr="007F6CAA" w:rsidRDefault="007902B3" w:rsidP="006711E7">
            <w:pPr>
              <w:rPr>
                <w:i/>
                <w:iCs/>
              </w:rPr>
            </w:pPr>
            <w:r w:rsidRPr="007F6CAA">
              <w:rPr>
                <w:i/>
                <w:iCs/>
              </w:rPr>
              <w:t>Unsatisfactory</w:t>
            </w:r>
            <w:r>
              <w:rPr>
                <w:i/>
                <w:iCs/>
              </w:rPr>
              <w:t xml:space="preserve"> </w:t>
            </w:r>
            <w:r>
              <w:t>(1)</w:t>
            </w:r>
          </w:p>
        </w:tc>
        <w:tc>
          <w:tcPr>
            <w:tcW w:w="1710" w:type="dxa"/>
          </w:tcPr>
          <w:p w14:paraId="6A76FC4F" w14:textId="77777777" w:rsidR="007902B3" w:rsidRPr="007F6CAA" w:rsidRDefault="007902B3" w:rsidP="006711E7">
            <w:r w:rsidRPr="007F6CAA">
              <w:rPr>
                <w:i/>
                <w:iCs/>
              </w:rPr>
              <w:t>Satisfactory</w:t>
            </w:r>
            <w:r>
              <w:rPr>
                <w:i/>
                <w:iCs/>
              </w:rPr>
              <w:t xml:space="preserve"> </w:t>
            </w:r>
            <w:r>
              <w:t>(2)</w:t>
            </w:r>
          </w:p>
        </w:tc>
        <w:tc>
          <w:tcPr>
            <w:tcW w:w="1165" w:type="dxa"/>
          </w:tcPr>
          <w:p w14:paraId="71BA5663" w14:textId="77777777" w:rsidR="007902B3" w:rsidRPr="007F6CAA" w:rsidRDefault="007902B3" w:rsidP="006711E7">
            <w:r w:rsidRPr="007F6CAA">
              <w:rPr>
                <w:i/>
                <w:iCs/>
              </w:rPr>
              <w:t>Good</w:t>
            </w:r>
            <w:r>
              <w:rPr>
                <w:i/>
                <w:iCs/>
              </w:rPr>
              <w:t xml:space="preserve"> </w:t>
            </w:r>
            <w:r>
              <w:t>(3)</w:t>
            </w:r>
          </w:p>
        </w:tc>
      </w:tr>
      <w:tr w:rsidR="007902B3" w:rsidRPr="007F6CAA" w14:paraId="766C081A" w14:textId="77777777" w:rsidTr="006711E7">
        <w:tc>
          <w:tcPr>
            <w:tcW w:w="2572" w:type="dxa"/>
          </w:tcPr>
          <w:p w14:paraId="199AAB95" w14:textId="77777777" w:rsidR="007902B3" w:rsidRPr="007F6CAA" w:rsidRDefault="007902B3" w:rsidP="006711E7">
            <w:r>
              <w:t>Syllabus</w:t>
            </w:r>
          </w:p>
        </w:tc>
        <w:tc>
          <w:tcPr>
            <w:tcW w:w="5433" w:type="dxa"/>
          </w:tcPr>
          <w:p w14:paraId="5DB5301E" w14:textId="77777777" w:rsidR="007902B3" w:rsidRPr="007F6CAA" w:rsidRDefault="007902B3" w:rsidP="006711E7">
            <w:r>
              <w:t>Objectives and weekly assignments clearly indicated, statement regarding how the course fulfills diversity requirement included</w:t>
            </w:r>
          </w:p>
        </w:tc>
        <w:tc>
          <w:tcPr>
            <w:tcW w:w="2070" w:type="dxa"/>
          </w:tcPr>
          <w:p w14:paraId="0B03E98F" w14:textId="77777777" w:rsidR="007902B3" w:rsidRPr="007F6CAA" w:rsidRDefault="007902B3" w:rsidP="006711E7"/>
        </w:tc>
        <w:tc>
          <w:tcPr>
            <w:tcW w:w="1710" w:type="dxa"/>
          </w:tcPr>
          <w:p w14:paraId="3023D3B0" w14:textId="77777777" w:rsidR="007902B3" w:rsidRPr="007F6CAA" w:rsidRDefault="007902B3" w:rsidP="006711E7"/>
        </w:tc>
        <w:tc>
          <w:tcPr>
            <w:tcW w:w="1165" w:type="dxa"/>
          </w:tcPr>
          <w:p w14:paraId="697CDE60" w14:textId="77777777" w:rsidR="007902B3" w:rsidRPr="007F6CAA" w:rsidRDefault="007902B3" w:rsidP="006711E7"/>
        </w:tc>
      </w:tr>
      <w:tr w:rsidR="007902B3" w:rsidRPr="007F6CAA" w14:paraId="71B740B5" w14:textId="77777777" w:rsidTr="006711E7">
        <w:tc>
          <w:tcPr>
            <w:tcW w:w="2572" w:type="dxa"/>
          </w:tcPr>
          <w:p w14:paraId="297FB79F" w14:textId="77777777" w:rsidR="007902B3" w:rsidRDefault="007902B3" w:rsidP="006711E7">
            <w:r>
              <w:t>Course Focus</w:t>
            </w:r>
          </w:p>
        </w:tc>
        <w:tc>
          <w:tcPr>
            <w:tcW w:w="5433" w:type="dxa"/>
          </w:tcPr>
          <w:p w14:paraId="23B41113" w14:textId="77777777" w:rsidR="007902B3" w:rsidRPr="007F6CAA" w:rsidRDefault="007902B3" w:rsidP="006711E7">
            <w:r>
              <w:t>75% of the course will focus on relevant material</w:t>
            </w:r>
          </w:p>
        </w:tc>
        <w:tc>
          <w:tcPr>
            <w:tcW w:w="2070" w:type="dxa"/>
          </w:tcPr>
          <w:p w14:paraId="4DFFD63A" w14:textId="77777777" w:rsidR="007902B3" w:rsidRPr="007F6CAA" w:rsidRDefault="007902B3" w:rsidP="006711E7"/>
        </w:tc>
        <w:tc>
          <w:tcPr>
            <w:tcW w:w="1710" w:type="dxa"/>
          </w:tcPr>
          <w:p w14:paraId="6ACA3E1E" w14:textId="77777777" w:rsidR="007902B3" w:rsidRPr="007F6CAA" w:rsidRDefault="007902B3" w:rsidP="006711E7"/>
        </w:tc>
        <w:tc>
          <w:tcPr>
            <w:tcW w:w="1165" w:type="dxa"/>
          </w:tcPr>
          <w:p w14:paraId="6BBDF6F0" w14:textId="77777777" w:rsidR="007902B3" w:rsidRPr="007F6CAA" w:rsidRDefault="007902B3" w:rsidP="006711E7"/>
        </w:tc>
      </w:tr>
      <w:tr w:rsidR="007902B3" w:rsidRPr="007F6CAA" w14:paraId="65B78EA8" w14:textId="77777777" w:rsidTr="006711E7">
        <w:tc>
          <w:tcPr>
            <w:tcW w:w="2572" w:type="dxa"/>
          </w:tcPr>
          <w:p w14:paraId="1E3A52C5" w14:textId="77777777" w:rsidR="007902B3" w:rsidRDefault="007902B3" w:rsidP="006711E7">
            <w:r>
              <w:t>Competencies</w:t>
            </w:r>
          </w:p>
        </w:tc>
        <w:tc>
          <w:tcPr>
            <w:tcW w:w="5433" w:type="dxa"/>
          </w:tcPr>
          <w:p w14:paraId="3E862283" w14:textId="2FCFB917" w:rsidR="007902B3" w:rsidRPr="007F6CAA" w:rsidRDefault="007902B3" w:rsidP="006711E7">
            <w:r>
              <w:t xml:space="preserve">At least three competencies </w:t>
            </w:r>
            <w:r w:rsidR="00BA0F73">
              <w:t>are covered</w:t>
            </w:r>
            <w:r>
              <w:t xml:space="preserve"> </w:t>
            </w:r>
          </w:p>
        </w:tc>
        <w:tc>
          <w:tcPr>
            <w:tcW w:w="2070" w:type="dxa"/>
          </w:tcPr>
          <w:p w14:paraId="3AE6D85A" w14:textId="77777777" w:rsidR="007902B3" w:rsidRPr="007F6CAA" w:rsidRDefault="007902B3" w:rsidP="006711E7"/>
        </w:tc>
        <w:tc>
          <w:tcPr>
            <w:tcW w:w="1710" w:type="dxa"/>
          </w:tcPr>
          <w:p w14:paraId="4506C997" w14:textId="77777777" w:rsidR="007902B3" w:rsidRPr="007F6CAA" w:rsidRDefault="007902B3" w:rsidP="006711E7"/>
        </w:tc>
        <w:tc>
          <w:tcPr>
            <w:tcW w:w="1165" w:type="dxa"/>
          </w:tcPr>
          <w:p w14:paraId="307077FA" w14:textId="77777777" w:rsidR="007902B3" w:rsidRPr="007F6CAA" w:rsidRDefault="007902B3" w:rsidP="006711E7"/>
        </w:tc>
      </w:tr>
      <w:tr w:rsidR="007902B3" w:rsidRPr="007F6CAA" w14:paraId="324401EE" w14:textId="77777777" w:rsidTr="006711E7">
        <w:tc>
          <w:tcPr>
            <w:tcW w:w="2572" w:type="dxa"/>
          </w:tcPr>
          <w:p w14:paraId="4DE89EE5" w14:textId="77777777" w:rsidR="007902B3" w:rsidRDefault="007902B3" w:rsidP="006711E7">
            <w:r>
              <w:t>Readings</w:t>
            </w:r>
          </w:p>
        </w:tc>
        <w:tc>
          <w:tcPr>
            <w:tcW w:w="5433" w:type="dxa"/>
          </w:tcPr>
          <w:p w14:paraId="70248530" w14:textId="77777777" w:rsidR="007902B3" w:rsidRPr="007F6CAA" w:rsidRDefault="007902B3" w:rsidP="006711E7">
            <w:r>
              <w:t xml:space="preserve">Relevant and sufficient reading materials included </w:t>
            </w:r>
          </w:p>
        </w:tc>
        <w:tc>
          <w:tcPr>
            <w:tcW w:w="2070" w:type="dxa"/>
          </w:tcPr>
          <w:p w14:paraId="44168603" w14:textId="77777777" w:rsidR="007902B3" w:rsidRPr="007F6CAA" w:rsidRDefault="007902B3" w:rsidP="006711E7"/>
        </w:tc>
        <w:tc>
          <w:tcPr>
            <w:tcW w:w="1710" w:type="dxa"/>
          </w:tcPr>
          <w:p w14:paraId="2F1FF96F" w14:textId="77777777" w:rsidR="007902B3" w:rsidRPr="007F6CAA" w:rsidRDefault="007902B3" w:rsidP="006711E7"/>
        </w:tc>
        <w:tc>
          <w:tcPr>
            <w:tcW w:w="1165" w:type="dxa"/>
          </w:tcPr>
          <w:p w14:paraId="78B0D0B7" w14:textId="77777777" w:rsidR="007902B3" w:rsidRPr="007F6CAA" w:rsidRDefault="007902B3" w:rsidP="006711E7"/>
        </w:tc>
      </w:tr>
      <w:tr w:rsidR="007902B3" w:rsidRPr="007F6CAA" w14:paraId="7CC2B30D" w14:textId="77777777" w:rsidTr="006711E7">
        <w:tc>
          <w:tcPr>
            <w:tcW w:w="2572" w:type="dxa"/>
          </w:tcPr>
          <w:p w14:paraId="760ACE44" w14:textId="77777777" w:rsidR="007902B3" w:rsidRDefault="007902B3" w:rsidP="006711E7">
            <w:r>
              <w:t>Activities</w:t>
            </w:r>
          </w:p>
        </w:tc>
        <w:tc>
          <w:tcPr>
            <w:tcW w:w="5433" w:type="dxa"/>
          </w:tcPr>
          <w:p w14:paraId="1797F97F" w14:textId="77777777" w:rsidR="007902B3" w:rsidRDefault="007902B3" w:rsidP="006711E7">
            <w:r>
              <w:t>Course assignments and activities clearly linked to objectives and outcomes</w:t>
            </w:r>
          </w:p>
        </w:tc>
        <w:tc>
          <w:tcPr>
            <w:tcW w:w="2070" w:type="dxa"/>
          </w:tcPr>
          <w:p w14:paraId="3C4B3B1A" w14:textId="77777777" w:rsidR="007902B3" w:rsidRPr="007F6CAA" w:rsidRDefault="007902B3" w:rsidP="006711E7"/>
        </w:tc>
        <w:tc>
          <w:tcPr>
            <w:tcW w:w="1710" w:type="dxa"/>
          </w:tcPr>
          <w:p w14:paraId="2D27369A" w14:textId="77777777" w:rsidR="007902B3" w:rsidRPr="007F6CAA" w:rsidRDefault="007902B3" w:rsidP="006711E7"/>
        </w:tc>
        <w:tc>
          <w:tcPr>
            <w:tcW w:w="1165" w:type="dxa"/>
          </w:tcPr>
          <w:p w14:paraId="546689D6" w14:textId="77777777" w:rsidR="007902B3" w:rsidRPr="007F6CAA" w:rsidRDefault="007902B3" w:rsidP="006711E7"/>
        </w:tc>
      </w:tr>
      <w:tr w:rsidR="007902B3" w:rsidRPr="007F6CAA" w14:paraId="6805F343" w14:textId="77777777" w:rsidTr="006711E7">
        <w:tc>
          <w:tcPr>
            <w:tcW w:w="2572" w:type="dxa"/>
          </w:tcPr>
          <w:p w14:paraId="545BF188" w14:textId="77777777" w:rsidR="007902B3" w:rsidRDefault="007902B3" w:rsidP="006711E7">
            <w:r>
              <w:t>Assessments</w:t>
            </w:r>
          </w:p>
        </w:tc>
        <w:tc>
          <w:tcPr>
            <w:tcW w:w="5433" w:type="dxa"/>
          </w:tcPr>
          <w:p w14:paraId="664DD954" w14:textId="77777777" w:rsidR="007902B3" w:rsidRDefault="007902B3" w:rsidP="006711E7">
            <w:r>
              <w:t>Course indicates how learning outcomes of students will be assessed</w:t>
            </w:r>
          </w:p>
        </w:tc>
        <w:tc>
          <w:tcPr>
            <w:tcW w:w="2070" w:type="dxa"/>
          </w:tcPr>
          <w:p w14:paraId="53974D12" w14:textId="77777777" w:rsidR="007902B3" w:rsidRPr="007F6CAA" w:rsidRDefault="007902B3" w:rsidP="006711E7"/>
        </w:tc>
        <w:tc>
          <w:tcPr>
            <w:tcW w:w="1710" w:type="dxa"/>
          </w:tcPr>
          <w:p w14:paraId="6E749868" w14:textId="77777777" w:rsidR="007902B3" w:rsidRPr="007F6CAA" w:rsidRDefault="007902B3" w:rsidP="006711E7"/>
        </w:tc>
        <w:tc>
          <w:tcPr>
            <w:tcW w:w="1165" w:type="dxa"/>
          </w:tcPr>
          <w:p w14:paraId="0A07CB11" w14:textId="77777777" w:rsidR="007902B3" w:rsidRPr="007F6CAA" w:rsidRDefault="007902B3" w:rsidP="006711E7"/>
        </w:tc>
      </w:tr>
    </w:tbl>
    <w:p w14:paraId="475231FF" w14:textId="77777777" w:rsidR="007902B3" w:rsidRDefault="007902B3" w:rsidP="007902B3"/>
    <w:p w14:paraId="3754E99D" w14:textId="77777777" w:rsidR="007902B3" w:rsidRDefault="007902B3" w:rsidP="007902B3">
      <w:r>
        <w:t xml:space="preserve">Courses must meet achieve a minimum score of 12 (out of a maximum of 18) to be approved </w:t>
      </w:r>
    </w:p>
    <w:p w14:paraId="1D7C8872" w14:textId="77777777" w:rsidR="009C3CB0" w:rsidRPr="00C60F7B" w:rsidRDefault="009C3CB0">
      <w:pPr>
        <w:rPr>
          <w:rFonts w:ascii="Cambria" w:hAnsi="Cambria" w:cs="Calibri"/>
          <w:color w:val="000000" w:themeColor="text1"/>
        </w:rPr>
      </w:pPr>
    </w:p>
    <w:p w14:paraId="478A072D" w14:textId="77777777" w:rsidR="009C3CB0" w:rsidRPr="00C60F7B" w:rsidRDefault="009C3CB0">
      <w:pPr>
        <w:rPr>
          <w:rFonts w:ascii="Cambria" w:hAnsi="Cambria" w:cs="Calibri"/>
          <w:color w:val="000000" w:themeColor="text1"/>
        </w:rPr>
      </w:pPr>
    </w:p>
    <w:sectPr w:rsidR="009C3CB0" w:rsidRPr="00C60F7B" w:rsidSect="0075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ED4"/>
    <w:multiLevelType w:val="hybridMultilevel"/>
    <w:tmpl w:val="BF32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E57"/>
    <w:multiLevelType w:val="hybridMultilevel"/>
    <w:tmpl w:val="6C40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37F"/>
    <w:multiLevelType w:val="hybridMultilevel"/>
    <w:tmpl w:val="9C0C1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2681F"/>
    <w:multiLevelType w:val="hybridMultilevel"/>
    <w:tmpl w:val="8E82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610F"/>
    <w:multiLevelType w:val="hybridMultilevel"/>
    <w:tmpl w:val="0154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F17"/>
    <w:multiLevelType w:val="hybridMultilevel"/>
    <w:tmpl w:val="C32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C1CDE"/>
    <w:multiLevelType w:val="hybridMultilevel"/>
    <w:tmpl w:val="BFD87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022A69"/>
    <w:multiLevelType w:val="hybridMultilevel"/>
    <w:tmpl w:val="694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A5537"/>
    <w:multiLevelType w:val="hybridMultilevel"/>
    <w:tmpl w:val="ED5A28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6"/>
    <w:rsid w:val="00061967"/>
    <w:rsid w:val="000705E6"/>
    <w:rsid w:val="0008190F"/>
    <w:rsid w:val="000D0E0A"/>
    <w:rsid w:val="000D5BCE"/>
    <w:rsid w:val="00115046"/>
    <w:rsid w:val="001365D6"/>
    <w:rsid w:val="001E7DF9"/>
    <w:rsid w:val="001F4944"/>
    <w:rsid w:val="00212EDD"/>
    <w:rsid w:val="002E07A0"/>
    <w:rsid w:val="002F046F"/>
    <w:rsid w:val="00322D3C"/>
    <w:rsid w:val="003F4F00"/>
    <w:rsid w:val="00441AA4"/>
    <w:rsid w:val="00615727"/>
    <w:rsid w:val="00625723"/>
    <w:rsid w:val="006566BC"/>
    <w:rsid w:val="006A0346"/>
    <w:rsid w:val="006A0650"/>
    <w:rsid w:val="00752F8D"/>
    <w:rsid w:val="007902B3"/>
    <w:rsid w:val="007E1497"/>
    <w:rsid w:val="00886400"/>
    <w:rsid w:val="008A7A5F"/>
    <w:rsid w:val="00930C09"/>
    <w:rsid w:val="0096572E"/>
    <w:rsid w:val="00991AA6"/>
    <w:rsid w:val="009C3CB0"/>
    <w:rsid w:val="00A16478"/>
    <w:rsid w:val="00A253F7"/>
    <w:rsid w:val="00A326CA"/>
    <w:rsid w:val="00B36ACF"/>
    <w:rsid w:val="00B85324"/>
    <w:rsid w:val="00BA0F73"/>
    <w:rsid w:val="00BE6F81"/>
    <w:rsid w:val="00BF5373"/>
    <w:rsid w:val="00C33046"/>
    <w:rsid w:val="00C60F7B"/>
    <w:rsid w:val="00CE15C4"/>
    <w:rsid w:val="00D8353F"/>
    <w:rsid w:val="00D90712"/>
    <w:rsid w:val="00EF37F2"/>
    <w:rsid w:val="00F066DD"/>
    <w:rsid w:val="00F57D98"/>
    <w:rsid w:val="00FB09B5"/>
    <w:rsid w:val="00FE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51B24"/>
  <w14:defaultImageDpi w14:val="300"/>
  <w15:docId w15:val="{284E8795-8600-6B4D-9D78-EC03CA9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D6"/>
    <w:pPr>
      <w:ind w:left="720"/>
      <w:contextualSpacing/>
    </w:pPr>
  </w:style>
  <w:style w:type="paragraph" w:styleId="BalloonText">
    <w:name w:val="Balloon Text"/>
    <w:basedOn w:val="Normal"/>
    <w:link w:val="BalloonTextChar"/>
    <w:uiPriority w:val="99"/>
    <w:semiHidden/>
    <w:unhideWhenUsed/>
    <w:rsid w:val="00A32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6CA"/>
    <w:rPr>
      <w:rFonts w:ascii="Times New Roman" w:hAnsi="Times New Roman" w:cs="Times New Roman"/>
      <w:sz w:val="18"/>
      <w:szCs w:val="18"/>
    </w:rPr>
  </w:style>
  <w:style w:type="character" w:styleId="Hyperlink">
    <w:name w:val="Hyperlink"/>
    <w:basedOn w:val="DefaultParagraphFont"/>
    <w:uiPriority w:val="99"/>
    <w:unhideWhenUsed/>
    <w:rsid w:val="00A326CA"/>
    <w:rPr>
      <w:color w:val="0000FF" w:themeColor="hyperlink"/>
      <w:u w:val="single"/>
    </w:rPr>
  </w:style>
  <w:style w:type="character" w:customStyle="1" w:styleId="UnresolvedMention">
    <w:name w:val="Unresolved Mention"/>
    <w:basedOn w:val="DefaultParagraphFont"/>
    <w:uiPriority w:val="99"/>
    <w:semiHidden/>
    <w:unhideWhenUsed/>
    <w:rsid w:val="00A326CA"/>
    <w:rPr>
      <w:color w:val="605E5C"/>
      <w:shd w:val="clear" w:color="auto" w:fill="E1DFDD"/>
    </w:rPr>
  </w:style>
  <w:style w:type="character" w:styleId="CommentReference">
    <w:name w:val="annotation reference"/>
    <w:basedOn w:val="DefaultParagraphFont"/>
    <w:uiPriority w:val="99"/>
    <w:semiHidden/>
    <w:unhideWhenUsed/>
    <w:rsid w:val="00EF37F2"/>
    <w:rPr>
      <w:sz w:val="16"/>
      <w:szCs w:val="16"/>
    </w:rPr>
  </w:style>
  <w:style w:type="paragraph" w:styleId="CommentText">
    <w:name w:val="annotation text"/>
    <w:basedOn w:val="Normal"/>
    <w:link w:val="CommentTextChar"/>
    <w:uiPriority w:val="99"/>
    <w:semiHidden/>
    <w:unhideWhenUsed/>
    <w:rsid w:val="00EF37F2"/>
    <w:rPr>
      <w:sz w:val="20"/>
      <w:szCs w:val="20"/>
    </w:rPr>
  </w:style>
  <w:style w:type="character" w:customStyle="1" w:styleId="CommentTextChar">
    <w:name w:val="Comment Text Char"/>
    <w:basedOn w:val="DefaultParagraphFont"/>
    <w:link w:val="CommentText"/>
    <w:uiPriority w:val="99"/>
    <w:semiHidden/>
    <w:rsid w:val="00EF37F2"/>
    <w:rPr>
      <w:sz w:val="20"/>
      <w:szCs w:val="20"/>
    </w:rPr>
  </w:style>
  <w:style w:type="paragraph" w:styleId="CommentSubject">
    <w:name w:val="annotation subject"/>
    <w:basedOn w:val="CommentText"/>
    <w:next w:val="CommentText"/>
    <w:link w:val="CommentSubjectChar"/>
    <w:uiPriority w:val="99"/>
    <w:semiHidden/>
    <w:unhideWhenUsed/>
    <w:rsid w:val="00EF37F2"/>
    <w:rPr>
      <w:b/>
      <w:bCs/>
    </w:rPr>
  </w:style>
  <w:style w:type="character" w:customStyle="1" w:styleId="CommentSubjectChar">
    <w:name w:val="Comment Subject Char"/>
    <w:basedOn w:val="CommentTextChar"/>
    <w:link w:val="CommentSubject"/>
    <w:uiPriority w:val="99"/>
    <w:semiHidden/>
    <w:rsid w:val="00EF37F2"/>
    <w:rPr>
      <w:b/>
      <w:bCs/>
      <w:sz w:val="20"/>
      <w:szCs w:val="20"/>
    </w:rPr>
  </w:style>
  <w:style w:type="character" w:styleId="FollowedHyperlink">
    <w:name w:val="FollowedHyperlink"/>
    <w:basedOn w:val="DefaultParagraphFont"/>
    <w:uiPriority w:val="99"/>
    <w:semiHidden/>
    <w:unhideWhenUsed/>
    <w:rsid w:val="006A0650"/>
    <w:rPr>
      <w:color w:val="800080" w:themeColor="followedHyperlink"/>
      <w:u w:val="single"/>
    </w:rPr>
  </w:style>
  <w:style w:type="table" w:styleId="TableGrid">
    <w:name w:val="Table Grid"/>
    <w:basedOn w:val="TableNormal"/>
    <w:uiPriority w:val="39"/>
    <w:rsid w:val="00115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9873">
      <w:bodyDiv w:val="1"/>
      <w:marLeft w:val="0"/>
      <w:marRight w:val="0"/>
      <w:marTop w:val="0"/>
      <w:marBottom w:val="0"/>
      <w:divBdr>
        <w:top w:val="none" w:sz="0" w:space="0" w:color="auto"/>
        <w:left w:val="none" w:sz="0" w:space="0" w:color="auto"/>
        <w:bottom w:val="none" w:sz="0" w:space="0" w:color="auto"/>
        <w:right w:val="none" w:sz="0" w:space="0" w:color="auto"/>
      </w:divBdr>
      <w:divsChild>
        <w:div w:id="760568159">
          <w:marLeft w:val="0"/>
          <w:marRight w:val="0"/>
          <w:marTop w:val="0"/>
          <w:marBottom w:val="0"/>
          <w:divBdr>
            <w:top w:val="single" w:sz="6" w:space="8" w:color="000000"/>
            <w:left w:val="none" w:sz="0" w:space="0" w:color="auto"/>
            <w:bottom w:val="none" w:sz="0" w:space="0" w:color="auto"/>
            <w:right w:val="none" w:sz="0" w:space="0" w:color="auto"/>
          </w:divBdr>
        </w:div>
      </w:divsChild>
    </w:div>
    <w:div w:id="63649833">
      <w:bodyDiv w:val="1"/>
      <w:marLeft w:val="0"/>
      <w:marRight w:val="0"/>
      <w:marTop w:val="0"/>
      <w:marBottom w:val="0"/>
      <w:divBdr>
        <w:top w:val="none" w:sz="0" w:space="0" w:color="auto"/>
        <w:left w:val="none" w:sz="0" w:space="0" w:color="auto"/>
        <w:bottom w:val="none" w:sz="0" w:space="0" w:color="auto"/>
        <w:right w:val="none" w:sz="0" w:space="0" w:color="auto"/>
      </w:divBdr>
    </w:div>
    <w:div w:id="2072078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ose@uvm.edu" TargetMode="External"/><Relationship Id="rId5" Type="http://schemas.openxmlformats.org/officeDocument/2006/relationships/hyperlink" Target="https://www.uvm.edu/generaleducation/information-faculty-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Sharon Conley Haas</cp:lastModifiedBy>
  <cp:revision>2</cp:revision>
  <dcterms:created xsi:type="dcterms:W3CDTF">2020-10-24T12:30:00Z</dcterms:created>
  <dcterms:modified xsi:type="dcterms:W3CDTF">2020-10-24T12:30:00Z</dcterms:modified>
</cp:coreProperties>
</file>