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27" w:rsidRPr="009E7FE8" w:rsidRDefault="00225FBA">
      <w:pPr>
        <w:rPr>
          <w:b/>
        </w:rPr>
      </w:pPr>
      <w:r w:rsidRPr="009E7FE8">
        <w:rPr>
          <w:b/>
        </w:rPr>
        <w:t>Catskill Nutrient Cycling Plots</w:t>
      </w:r>
    </w:p>
    <w:p w:rsidR="00225FBA" w:rsidRPr="009E7FE8" w:rsidRDefault="00225FBA">
      <w:pPr>
        <w:rPr>
          <w:i/>
        </w:rPr>
      </w:pPr>
      <w:r w:rsidRPr="009E7FE8">
        <w:rPr>
          <w:i/>
        </w:rPr>
        <w:t>Soil Sampling Methods, Watershed Codes</w:t>
      </w:r>
      <w:r w:rsidR="009E7FE8">
        <w:rPr>
          <w:i/>
        </w:rPr>
        <w:t>, and Plot L</w:t>
      </w:r>
      <w:r w:rsidRPr="009E7FE8">
        <w:rPr>
          <w:i/>
        </w:rPr>
        <w:t>ocations</w:t>
      </w:r>
    </w:p>
    <w:p w:rsidR="00225FBA" w:rsidRPr="009E7FE8" w:rsidRDefault="00225FBA" w:rsidP="00225FBA">
      <w:pPr>
        <w:spacing w:line="240" w:lineRule="auto"/>
        <w:rPr>
          <w:rFonts w:ascii="Times New Roman" w:hAnsi="Times New Roman" w:cs="Times New Roman"/>
          <w:sz w:val="24"/>
          <w:szCs w:val="24"/>
          <w:u w:val="single"/>
        </w:rPr>
      </w:pPr>
      <w:r w:rsidRPr="009E7FE8">
        <w:rPr>
          <w:rFonts w:ascii="Times New Roman" w:hAnsi="Times New Roman" w:cs="Times New Roman"/>
          <w:sz w:val="24"/>
          <w:szCs w:val="24"/>
          <w:u w:val="single"/>
        </w:rPr>
        <w:t>Methods</w:t>
      </w:r>
    </w:p>
    <w:p w:rsidR="00225FBA" w:rsidRPr="000B4E63" w:rsidRDefault="00225FBA" w:rsidP="00225FBA">
      <w:pPr>
        <w:spacing w:line="240" w:lineRule="auto"/>
        <w:rPr>
          <w:rFonts w:ascii="Times New Roman" w:hAnsi="Times New Roman" w:cs="Times New Roman"/>
          <w:sz w:val="24"/>
          <w:szCs w:val="24"/>
        </w:rPr>
      </w:pPr>
      <w:r w:rsidRPr="000B4E63">
        <w:rPr>
          <w:rFonts w:ascii="Times New Roman" w:hAnsi="Times New Roman" w:cs="Times New Roman"/>
          <w:sz w:val="24"/>
          <w:szCs w:val="24"/>
        </w:rPr>
        <w:t>We studied five of the most dominant species: sugar maple (</w:t>
      </w:r>
      <w:r w:rsidRPr="000B4E63">
        <w:rPr>
          <w:rFonts w:ascii="Times New Roman" w:hAnsi="Times New Roman" w:cs="Times New Roman"/>
          <w:i/>
          <w:sz w:val="24"/>
          <w:szCs w:val="24"/>
        </w:rPr>
        <w:t xml:space="preserve">Acer </w:t>
      </w:r>
      <w:proofErr w:type="spellStart"/>
      <w:r w:rsidRPr="000B4E63">
        <w:rPr>
          <w:rFonts w:ascii="Times New Roman" w:hAnsi="Times New Roman" w:cs="Times New Roman"/>
          <w:i/>
          <w:sz w:val="24"/>
          <w:szCs w:val="24"/>
        </w:rPr>
        <w:t>saccharum</w:t>
      </w:r>
      <w:proofErr w:type="spellEnd"/>
      <w:r w:rsidRPr="000B4E63">
        <w:rPr>
          <w:rFonts w:ascii="Times New Roman" w:hAnsi="Times New Roman" w:cs="Times New Roman"/>
          <w:sz w:val="24"/>
          <w:szCs w:val="24"/>
        </w:rPr>
        <w:t xml:space="preserve"> Marsh), American beech (</w:t>
      </w:r>
      <w:r w:rsidRPr="000B4E63">
        <w:rPr>
          <w:rFonts w:ascii="Times New Roman" w:hAnsi="Times New Roman" w:cs="Times New Roman"/>
          <w:i/>
          <w:sz w:val="24"/>
          <w:szCs w:val="24"/>
        </w:rPr>
        <w:t xml:space="preserve">Fagus </w:t>
      </w:r>
      <w:proofErr w:type="spellStart"/>
      <w:r w:rsidRPr="000B4E63">
        <w:rPr>
          <w:rFonts w:ascii="Times New Roman" w:hAnsi="Times New Roman" w:cs="Times New Roman"/>
          <w:i/>
          <w:sz w:val="24"/>
          <w:szCs w:val="24"/>
        </w:rPr>
        <w:t>grandifolia</w:t>
      </w:r>
      <w:proofErr w:type="spellEnd"/>
      <w:r w:rsidRPr="000B4E63">
        <w:rPr>
          <w:rFonts w:ascii="Times New Roman" w:hAnsi="Times New Roman" w:cs="Times New Roman"/>
          <w:sz w:val="24"/>
          <w:szCs w:val="24"/>
        </w:rPr>
        <w:t xml:space="preserve"> </w:t>
      </w:r>
      <w:proofErr w:type="spellStart"/>
      <w:r w:rsidRPr="000B4E63">
        <w:rPr>
          <w:rFonts w:ascii="Times New Roman" w:hAnsi="Times New Roman" w:cs="Times New Roman"/>
          <w:sz w:val="24"/>
          <w:szCs w:val="24"/>
        </w:rPr>
        <w:t>Ehrh</w:t>
      </w:r>
      <w:proofErr w:type="spellEnd"/>
      <w:r w:rsidRPr="000B4E63">
        <w:rPr>
          <w:rFonts w:ascii="Times New Roman" w:hAnsi="Times New Roman" w:cs="Times New Roman"/>
          <w:sz w:val="24"/>
          <w:szCs w:val="24"/>
        </w:rPr>
        <w:t>.), yellow birch (</w:t>
      </w:r>
      <w:proofErr w:type="spellStart"/>
      <w:r w:rsidRPr="000B4E63">
        <w:rPr>
          <w:rFonts w:ascii="Times New Roman" w:hAnsi="Times New Roman" w:cs="Times New Roman"/>
          <w:i/>
          <w:sz w:val="24"/>
          <w:szCs w:val="24"/>
        </w:rPr>
        <w:t>Betula</w:t>
      </w:r>
      <w:proofErr w:type="spellEnd"/>
      <w:r w:rsidRPr="000B4E63">
        <w:rPr>
          <w:rFonts w:ascii="Times New Roman" w:hAnsi="Times New Roman" w:cs="Times New Roman"/>
          <w:i/>
          <w:sz w:val="24"/>
          <w:szCs w:val="24"/>
        </w:rPr>
        <w:t xml:space="preserve"> </w:t>
      </w:r>
      <w:proofErr w:type="spellStart"/>
      <w:r w:rsidRPr="000B4E63">
        <w:rPr>
          <w:rFonts w:ascii="Times New Roman" w:hAnsi="Times New Roman" w:cs="Times New Roman"/>
          <w:i/>
          <w:sz w:val="24"/>
          <w:szCs w:val="24"/>
        </w:rPr>
        <w:t>alleghaniensis</w:t>
      </w:r>
      <w:proofErr w:type="spellEnd"/>
      <w:r w:rsidRPr="000B4E63">
        <w:rPr>
          <w:rFonts w:ascii="Times New Roman" w:hAnsi="Times New Roman" w:cs="Times New Roman"/>
          <w:sz w:val="24"/>
          <w:szCs w:val="24"/>
        </w:rPr>
        <w:t xml:space="preserve"> Britton), </w:t>
      </w:r>
      <w:proofErr w:type="gramStart"/>
      <w:r w:rsidRPr="000B4E63">
        <w:rPr>
          <w:rFonts w:ascii="Times New Roman" w:hAnsi="Times New Roman" w:cs="Times New Roman"/>
          <w:sz w:val="24"/>
          <w:szCs w:val="24"/>
        </w:rPr>
        <w:t>eastern</w:t>
      </w:r>
      <w:proofErr w:type="gramEnd"/>
      <w:r w:rsidRPr="000B4E63">
        <w:rPr>
          <w:rFonts w:ascii="Times New Roman" w:hAnsi="Times New Roman" w:cs="Times New Roman"/>
          <w:sz w:val="24"/>
          <w:szCs w:val="24"/>
        </w:rPr>
        <w:t xml:space="preserve"> hemlock (</w:t>
      </w:r>
      <w:proofErr w:type="spellStart"/>
      <w:r w:rsidRPr="000B4E63">
        <w:rPr>
          <w:rFonts w:ascii="Times New Roman" w:hAnsi="Times New Roman" w:cs="Times New Roman"/>
          <w:i/>
          <w:sz w:val="24"/>
          <w:szCs w:val="24"/>
        </w:rPr>
        <w:t>Tsuga</w:t>
      </w:r>
      <w:proofErr w:type="spellEnd"/>
      <w:r w:rsidRPr="000B4E63">
        <w:rPr>
          <w:rFonts w:ascii="Times New Roman" w:hAnsi="Times New Roman" w:cs="Times New Roman"/>
          <w:i/>
          <w:sz w:val="24"/>
          <w:szCs w:val="24"/>
        </w:rPr>
        <w:t xml:space="preserve"> </w:t>
      </w:r>
      <w:proofErr w:type="spellStart"/>
      <w:r w:rsidRPr="000B4E63">
        <w:rPr>
          <w:rFonts w:ascii="Times New Roman" w:hAnsi="Times New Roman" w:cs="Times New Roman"/>
          <w:i/>
          <w:sz w:val="24"/>
          <w:szCs w:val="24"/>
        </w:rPr>
        <w:t>canadensis</w:t>
      </w:r>
      <w:proofErr w:type="spellEnd"/>
      <w:r w:rsidRPr="000B4E63">
        <w:rPr>
          <w:rFonts w:ascii="Times New Roman" w:hAnsi="Times New Roman" w:cs="Times New Roman"/>
          <w:sz w:val="24"/>
          <w:szCs w:val="24"/>
        </w:rPr>
        <w:t xml:space="preserve"> (L.) </w:t>
      </w:r>
      <w:proofErr w:type="spellStart"/>
      <w:r w:rsidRPr="000B4E63">
        <w:rPr>
          <w:rFonts w:ascii="Times New Roman" w:hAnsi="Times New Roman" w:cs="Times New Roman"/>
          <w:sz w:val="24"/>
          <w:szCs w:val="24"/>
        </w:rPr>
        <w:t>Carr</w:t>
      </w:r>
      <w:proofErr w:type="spellEnd"/>
      <w:r w:rsidRPr="000B4E63">
        <w:rPr>
          <w:rFonts w:ascii="Times New Roman" w:hAnsi="Times New Roman" w:cs="Times New Roman"/>
          <w:sz w:val="24"/>
          <w:szCs w:val="24"/>
        </w:rPr>
        <w:t>) and northern red oak (</w:t>
      </w:r>
      <w:proofErr w:type="spellStart"/>
      <w:r w:rsidRPr="000B4E63">
        <w:rPr>
          <w:rFonts w:ascii="Times New Roman" w:hAnsi="Times New Roman" w:cs="Times New Roman"/>
          <w:i/>
          <w:sz w:val="24"/>
          <w:szCs w:val="24"/>
        </w:rPr>
        <w:t>Quercus</w:t>
      </w:r>
      <w:proofErr w:type="spellEnd"/>
      <w:r w:rsidRPr="000B4E63">
        <w:rPr>
          <w:rFonts w:ascii="Times New Roman" w:hAnsi="Times New Roman" w:cs="Times New Roman"/>
          <w:i/>
          <w:sz w:val="24"/>
          <w:szCs w:val="24"/>
        </w:rPr>
        <w:t xml:space="preserve"> </w:t>
      </w:r>
      <w:proofErr w:type="spellStart"/>
      <w:r w:rsidRPr="000B4E63">
        <w:rPr>
          <w:rFonts w:ascii="Times New Roman" w:hAnsi="Times New Roman" w:cs="Times New Roman"/>
          <w:i/>
          <w:sz w:val="24"/>
          <w:szCs w:val="24"/>
        </w:rPr>
        <w:t>rubra</w:t>
      </w:r>
      <w:proofErr w:type="spellEnd"/>
      <w:r w:rsidRPr="000B4E63">
        <w:rPr>
          <w:rFonts w:ascii="Times New Roman" w:hAnsi="Times New Roman" w:cs="Times New Roman"/>
          <w:sz w:val="24"/>
          <w:szCs w:val="24"/>
        </w:rPr>
        <w:t xml:space="preserve"> L.). For brevity, henceforth we refer to these species as maple, beech, birch, hemlock, and oak, respectively.   For each species we chose six pairs of monospecific plots located throughout the central Catskills in a region of about 60 x 60 km roughly centered on 42</w:t>
      </w:r>
      <w:r w:rsidRPr="000B4E63">
        <w:rPr>
          <w:rFonts w:ascii="Times New Roman" w:hAnsi="Times New Roman" w:cs="Times New Roman"/>
          <w:sz w:val="24"/>
          <w:szCs w:val="24"/>
          <w:vertAlign w:val="superscript"/>
        </w:rPr>
        <w:t>o</w:t>
      </w:r>
      <w:r w:rsidRPr="000B4E63">
        <w:rPr>
          <w:rFonts w:ascii="Times New Roman" w:hAnsi="Times New Roman" w:cs="Times New Roman"/>
          <w:sz w:val="24"/>
          <w:szCs w:val="24"/>
        </w:rPr>
        <w:t>07’ N and 74</w:t>
      </w:r>
      <w:r w:rsidRPr="000B4E63">
        <w:rPr>
          <w:rFonts w:ascii="Times New Roman" w:hAnsi="Times New Roman" w:cs="Times New Roman"/>
          <w:sz w:val="24"/>
          <w:szCs w:val="24"/>
          <w:vertAlign w:val="superscript"/>
        </w:rPr>
        <w:t>o</w:t>
      </w:r>
      <w:r w:rsidRPr="000B4E63">
        <w:rPr>
          <w:rFonts w:ascii="Times New Roman" w:hAnsi="Times New Roman" w:cs="Times New Roman"/>
          <w:sz w:val="24"/>
          <w:szCs w:val="24"/>
        </w:rPr>
        <w:t xml:space="preserve">15’ W  (Fig. 1).   For each species, plots </w:t>
      </w:r>
      <w:proofErr w:type="gramStart"/>
      <w:r w:rsidRPr="000B4E63">
        <w:rPr>
          <w:rFonts w:ascii="Times New Roman" w:hAnsi="Times New Roman" w:cs="Times New Roman"/>
          <w:sz w:val="24"/>
          <w:szCs w:val="24"/>
        </w:rPr>
        <w:t>were chosen</w:t>
      </w:r>
      <w:proofErr w:type="gramEnd"/>
      <w:r w:rsidRPr="000B4E63">
        <w:rPr>
          <w:rFonts w:ascii="Times New Roman" w:hAnsi="Times New Roman" w:cs="Times New Roman"/>
          <w:sz w:val="24"/>
          <w:szCs w:val="24"/>
        </w:rPr>
        <w:t xml:space="preserve"> in three different watersheds to encompass spatial variation across the Catskill region. The single-species plots were chosen within mixed-species stands with the following criteria estimated by observation in the field: 1) &gt;90% dominance of the canopy by mature trees of the target species, 2) pure or nearly pure litter composition from target species, and 3) no evidence of recent disturbance such as logging or fire.  Each plot was 12 m in diameter, and measurements of soil and focal trees </w:t>
      </w:r>
      <w:proofErr w:type="gramStart"/>
      <w:r w:rsidRPr="000B4E63">
        <w:rPr>
          <w:rFonts w:ascii="Times New Roman" w:hAnsi="Times New Roman" w:cs="Times New Roman"/>
          <w:sz w:val="24"/>
          <w:szCs w:val="24"/>
        </w:rPr>
        <w:t>were made</w:t>
      </w:r>
      <w:proofErr w:type="gramEnd"/>
      <w:r w:rsidRPr="000B4E63">
        <w:rPr>
          <w:rFonts w:ascii="Times New Roman" w:hAnsi="Times New Roman" w:cs="Times New Roman"/>
          <w:sz w:val="24"/>
          <w:szCs w:val="24"/>
        </w:rPr>
        <w:t xml:space="preserve"> within the inner 6 m diameter circle to avoid edge effects.  The inner 6 m circle included two or three canopy dominant trees.  The plots </w:t>
      </w:r>
      <w:proofErr w:type="gramStart"/>
      <w:r w:rsidRPr="000B4E63">
        <w:rPr>
          <w:rFonts w:ascii="Times New Roman" w:hAnsi="Times New Roman" w:cs="Times New Roman"/>
          <w:sz w:val="24"/>
          <w:szCs w:val="24"/>
        </w:rPr>
        <w:t>were chosen</w:t>
      </w:r>
      <w:proofErr w:type="gramEnd"/>
      <w:r w:rsidRPr="000B4E63">
        <w:rPr>
          <w:rFonts w:ascii="Times New Roman" w:hAnsi="Times New Roman" w:cs="Times New Roman"/>
          <w:sz w:val="24"/>
          <w:szCs w:val="24"/>
        </w:rPr>
        <w:t xml:space="preserve"> in pairs, with the two plots of each pair located within about 20 m of each other.  Nitrogen </w:t>
      </w:r>
      <w:proofErr w:type="gramStart"/>
      <w:r w:rsidRPr="000B4E63">
        <w:rPr>
          <w:rFonts w:ascii="Times New Roman" w:hAnsi="Times New Roman" w:cs="Times New Roman"/>
          <w:sz w:val="24"/>
          <w:szCs w:val="24"/>
        </w:rPr>
        <w:t>was added</w:t>
      </w:r>
      <w:proofErr w:type="gramEnd"/>
      <w:r w:rsidRPr="000B4E63">
        <w:rPr>
          <w:rFonts w:ascii="Times New Roman" w:hAnsi="Times New Roman" w:cs="Times New Roman"/>
          <w:sz w:val="24"/>
          <w:szCs w:val="24"/>
        </w:rPr>
        <w:t xml:space="preserve"> to one plot of each pair and the other plot was left untreated as a control.  </w:t>
      </w:r>
      <w:proofErr w:type="gramStart"/>
      <w:r w:rsidRPr="000B4E63">
        <w:rPr>
          <w:rFonts w:ascii="Times New Roman" w:hAnsi="Times New Roman" w:cs="Times New Roman"/>
          <w:sz w:val="24"/>
          <w:szCs w:val="24"/>
        </w:rPr>
        <w:t>Thus</w:t>
      </w:r>
      <w:proofErr w:type="gramEnd"/>
      <w:r w:rsidRPr="000B4E63">
        <w:rPr>
          <w:rFonts w:ascii="Times New Roman" w:hAnsi="Times New Roman" w:cs="Times New Roman"/>
          <w:sz w:val="24"/>
          <w:szCs w:val="24"/>
        </w:rPr>
        <w:t xml:space="preserve"> there were 60 plots in total: 5 species x 2 N treatments x 6 replicates.  Nitrogen was added to the forest floor of  the full 12m diameter treatment plot as granular NH</w:t>
      </w:r>
      <w:r w:rsidRPr="000B4E63">
        <w:rPr>
          <w:rFonts w:ascii="Times New Roman" w:hAnsi="Times New Roman" w:cs="Times New Roman"/>
          <w:sz w:val="24"/>
          <w:szCs w:val="24"/>
          <w:vertAlign w:val="subscript"/>
        </w:rPr>
        <w:t>4</w:t>
      </w:r>
      <w:r w:rsidRPr="000B4E63">
        <w:rPr>
          <w:rFonts w:ascii="Times New Roman" w:hAnsi="Times New Roman" w:cs="Times New Roman"/>
          <w:sz w:val="24"/>
          <w:szCs w:val="24"/>
        </w:rPr>
        <w:t>NO</w:t>
      </w:r>
      <w:r w:rsidRPr="000B4E63">
        <w:rPr>
          <w:rFonts w:ascii="Times New Roman" w:hAnsi="Times New Roman" w:cs="Times New Roman"/>
          <w:sz w:val="24"/>
          <w:szCs w:val="24"/>
          <w:vertAlign w:val="subscript"/>
        </w:rPr>
        <w:t>3</w:t>
      </w:r>
      <w:r w:rsidRPr="005C399D">
        <w:rPr>
          <w:rFonts w:ascii="Times New Roman" w:hAnsi="Times New Roman" w:cs="Times New Roman"/>
          <w:sz w:val="24"/>
          <w:szCs w:val="24"/>
        </w:rPr>
        <w:t xml:space="preserve"> </w:t>
      </w:r>
      <w:r w:rsidRPr="000B4E63">
        <w:rPr>
          <w:rFonts w:ascii="Times New Roman" w:hAnsi="Times New Roman" w:cs="Times New Roman"/>
          <w:sz w:val="24"/>
          <w:szCs w:val="24"/>
        </w:rPr>
        <w:t>four times per year (June,  July,  August and November) starting in November 1997.  The total annual dose was equivalent to 50 kg N ha</w:t>
      </w:r>
      <w:r w:rsidRPr="000B4E63">
        <w:rPr>
          <w:rFonts w:ascii="Times New Roman" w:hAnsi="Times New Roman" w:cs="Times New Roman"/>
          <w:sz w:val="24"/>
          <w:szCs w:val="24"/>
          <w:vertAlign w:val="superscript"/>
        </w:rPr>
        <w:t xml:space="preserve">-1 </w:t>
      </w:r>
      <w:r w:rsidRPr="000B4E63">
        <w:rPr>
          <w:rFonts w:ascii="Times New Roman" w:hAnsi="Times New Roman" w:cs="Times New Roman"/>
          <w:sz w:val="24"/>
          <w:szCs w:val="24"/>
        </w:rPr>
        <w:t>y</w:t>
      </w:r>
      <w:r w:rsidRPr="000B4E63">
        <w:rPr>
          <w:rFonts w:ascii="Times New Roman" w:hAnsi="Times New Roman" w:cs="Times New Roman"/>
          <w:sz w:val="24"/>
          <w:szCs w:val="24"/>
          <w:vertAlign w:val="superscript"/>
        </w:rPr>
        <w:t>-1</w:t>
      </w:r>
      <w:r w:rsidRPr="000B4E63">
        <w:rPr>
          <w:rFonts w:ascii="Times New Roman" w:hAnsi="Times New Roman" w:cs="Times New Roman"/>
          <w:sz w:val="24"/>
          <w:szCs w:val="24"/>
        </w:rPr>
        <w:t>.    Both N-treated and control plots also received the ambient N deposition of approximately 9 kg N</w:t>
      </w:r>
      <w:r w:rsidRPr="000B4E63">
        <w:rPr>
          <w:rFonts w:ascii="Times New Roman" w:hAnsi="Times New Roman" w:cs="Times New Roman"/>
          <w:sz w:val="24"/>
          <w:szCs w:val="24"/>
          <w:vertAlign w:val="superscript"/>
        </w:rPr>
        <w:t xml:space="preserve"> </w:t>
      </w:r>
      <w:r w:rsidRPr="000B4E63">
        <w:rPr>
          <w:rFonts w:ascii="Times New Roman" w:hAnsi="Times New Roman" w:cs="Times New Roman"/>
          <w:sz w:val="24"/>
          <w:szCs w:val="24"/>
        </w:rPr>
        <w:t>ha</w:t>
      </w:r>
      <w:r w:rsidRPr="000B4E63">
        <w:rPr>
          <w:rFonts w:ascii="Times New Roman" w:hAnsi="Times New Roman" w:cs="Times New Roman"/>
          <w:sz w:val="24"/>
          <w:szCs w:val="24"/>
          <w:vertAlign w:val="superscript"/>
        </w:rPr>
        <w:t xml:space="preserve">-1 </w:t>
      </w:r>
      <w:r w:rsidRPr="000B4E63">
        <w:rPr>
          <w:rFonts w:ascii="Times New Roman" w:hAnsi="Times New Roman" w:cs="Times New Roman"/>
          <w:sz w:val="24"/>
          <w:szCs w:val="24"/>
        </w:rPr>
        <w:t>y</w:t>
      </w:r>
      <w:r w:rsidRPr="000B4E63">
        <w:rPr>
          <w:rFonts w:ascii="Times New Roman" w:hAnsi="Times New Roman" w:cs="Times New Roman"/>
          <w:sz w:val="24"/>
          <w:szCs w:val="24"/>
          <w:vertAlign w:val="superscript"/>
        </w:rPr>
        <w:t>-1</w:t>
      </w:r>
      <w:r w:rsidRPr="000B4E63">
        <w:rPr>
          <w:rFonts w:ascii="Times New Roman" w:hAnsi="Times New Roman" w:cs="Times New Roman"/>
          <w:sz w:val="24"/>
          <w:szCs w:val="24"/>
        </w:rPr>
        <w:t xml:space="preserve"> (see above). </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sidRPr="009E7FE8">
        <w:rPr>
          <w:rFonts w:ascii="Times New Roman" w:eastAsia="Calibri" w:hAnsi="Times New Roman" w:cs="Times New Roman"/>
          <w:sz w:val="24"/>
          <w:szCs w:val="24"/>
        </w:rPr>
        <w:t>Soil properties</w:t>
      </w:r>
      <w:r w:rsidRPr="000B4E63">
        <w:rPr>
          <w:rFonts w:ascii="Times New Roman" w:eastAsia="Calibri" w:hAnsi="Times New Roman" w:cs="Times New Roman"/>
          <w:sz w:val="24"/>
          <w:szCs w:val="24"/>
          <w:u w:val="single"/>
        </w:rPr>
        <w:t xml:space="preserve"> </w:t>
      </w:r>
      <w:proofErr w:type="gramStart"/>
      <w:r w:rsidRPr="000B4E63">
        <w:rPr>
          <w:rFonts w:ascii="Times New Roman" w:eastAsia="Calibri" w:hAnsi="Times New Roman" w:cs="Times New Roman"/>
          <w:sz w:val="24"/>
          <w:szCs w:val="24"/>
        </w:rPr>
        <w:t>were measured</w:t>
      </w:r>
      <w:proofErr w:type="gramEnd"/>
      <w:r w:rsidRPr="000B4E63">
        <w:rPr>
          <w:rFonts w:ascii="Times New Roman" w:eastAsia="Calibri" w:hAnsi="Times New Roman" w:cs="Times New Roman"/>
          <w:sz w:val="24"/>
          <w:szCs w:val="24"/>
        </w:rPr>
        <w:t xml:space="preserve"> on four soil samples per plot collected in July </w:t>
      </w:r>
      <w:r w:rsidRPr="000B4E63">
        <w:rPr>
          <w:rFonts w:ascii="Times New Roman" w:hAnsi="Times New Roman" w:cs="Times New Roman"/>
          <w:sz w:val="24"/>
          <w:szCs w:val="24"/>
        </w:rPr>
        <w:t xml:space="preserve">of </w:t>
      </w:r>
      <w:r>
        <w:rPr>
          <w:rFonts w:ascii="Times New Roman" w:hAnsi="Times New Roman" w:cs="Times New Roman"/>
          <w:sz w:val="24"/>
          <w:szCs w:val="24"/>
        </w:rPr>
        <w:t xml:space="preserve">1998, </w:t>
      </w:r>
      <w:r w:rsidRPr="000B4E63">
        <w:rPr>
          <w:rFonts w:ascii="Times New Roman" w:hAnsi="Times New Roman" w:cs="Times New Roman"/>
          <w:sz w:val="24"/>
          <w:szCs w:val="24"/>
        </w:rPr>
        <w:t>2000 and 2003</w:t>
      </w:r>
      <w:r w:rsidRPr="000B4E63">
        <w:rPr>
          <w:rFonts w:ascii="Times New Roman" w:eastAsia="Calibri" w:hAnsi="Times New Roman" w:cs="Times New Roman"/>
          <w:sz w:val="24"/>
          <w:szCs w:val="24"/>
        </w:rPr>
        <w:t xml:space="preserve">.  Fresh litter </w:t>
      </w:r>
      <w:proofErr w:type="gramStart"/>
      <w:r w:rsidRPr="000B4E63">
        <w:rPr>
          <w:rFonts w:ascii="Times New Roman" w:eastAsia="Calibri" w:hAnsi="Times New Roman" w:cs="Times New Roman"/>
          <w:sz w:val="24"/>
          <w:szCs w:val="24"/>
        </w:rPr>
        <w:t>was brushed</w:t>
      </w:r>
      <w:proofErr w:type="gramEnd"/>
      <w:r w:rsidRPr="000B4E63">
        <w:rPr>
          <w:rFonts w:ascii="Times New Roman" w:eastAsia="Calibri" w:hAnsi="Times New Roman" w:cs="Times New Roman"/>
          <w:sz w:val="24"/>
          <w:szCs w:val="24"/>
        </w:rPr>
        <w:t xml:space="preserve"> away, and a soil core was taken to a depth of 12 cm </w:t>
      </w:r>
      <w:r w:rsidRPr="000B4E63">
        <w:rPr>
          <w:rFonts w:ascii="Times New Roman" w:hAnsi="Times New Roman" w:cs="Times New Roman"/>
          <w:sz w:val="24"/>
          <w:szCs w:val="24"/>
        </w:rPr>
        <w:t xml:space="preserve">from the surface </w:t>
      </w:r>
      <w:r w:rsidRPr="000B4E63">
        <w:rPr>
          <w:rFonts w:ascii="Times New Roman" w:eastAsia="Calibri" w:hAnsi="Times New Roman" w:cs="Times New Roman"/>
          <w:sz w:val="24"/>
          <w:szCs w:val="24"/>
        </w:rPr>
        <w:t>unless a rock or large root obstructed.  The core was separated into two samples representing organic (</w:t>
      </w:r>
      <w:proofErr w:type="spellStart"/>
      <w:r w:rsidRPr="000B4E63">
        <w:rPr>
          <w:rFonts w:ascii="Times New Roman" w:eastAsia="Calibri" w:hAnsi="Times New Roman" w:cs="Times New Roman"/>
          <w:sz w:val="24"/>
          <w:szCs w:val="24"/>
        </w:rPr>
        <w:t>Oe</w:t>
      </w:r>
      <w:proofErr w:type="spellEnd"/>
      <w:r w:rsidRPr="000B4E63">
        <w:rPr>
          <w:rFonts w:ascii="Times New Roman" w:eastAsia="Calibri" w:hAnsi="Times New Roman" w:cs="Times New Roman"/>
          <w:sz w:val="24"/>
          <w:szCs w:val="24"/>
        </w:rPr>
        <w:t xml:space="preserve"> + </w:t>
      </w:r>
      <w:proofErr w:type="spellStart"/>
      <w:r w:rsidRPr="000B4E63">
        <w:rPr>
          <w:rFonts w:ascii="Times New Roman" w:eastAsia="Calibri" w:hAnsi="Times New Roman" w:cs="Times New Roman"/>
          <w:sz w:val="24"/>
          <w:szCs w:val="24"/>
        </w:rPr>
        <w:t>Oa</w:t>
      </w:r>
      <w:proofErr w:type="spellEnd"/>
      <w:r w:rsidRPr="000B4E63">
        <w:rPr>
          <w:rFonts w:ascii="Times New Roman" w:eastAsia="Calibri" w:hAnsi="Times New Roman" w:cs="Times New Roman"/>
          <w:sz w:val="24"/>
          <w:szCs w:val="24"/>
        </w:rPr>
        <w:t xml:space="preserve">) and mineral (A and/or B) horizons.  The 12-cm core generally included the entire organic horizon and a variable depth of mineral soil.   In cases where mineral soil </w:t>
      </w:r>
      <w:proofErr w:type="gramStart"/>
      <w:r w:rsidRPr="000B4E63">
        <w:rPr>
          <w:rFonts w:ascii="Times New Roman" w:eastAsia="Calibri" w:hAnsi="Times New Roman" w:cs="Times New Roman"/>
          <w:sz w:val="24"/>
          <w:szCs w:val="24"/>
        </w:rPr>
        <w:t>was not encountered</w:t>
      </w:r>
      <w:proofErr w:type="gramEnd"/>
      <w:r w:rsidRPr="000B4E63">
        <w:rPr>
          <w:rFonts w:ascii="Times New Roman" w:eastAsia="Calibri" w:hAnsi="Times New Roman" w:cs="Times New Roman"/>
          <w:sz w:val="24"/>
          <w:szCs w:val="24"/>
        </w:rPr>
        <w:t xml:space="preserve"> at a depth of 12 cm, the core was deepened until a mineral horizon was reached and a sample was taken from approximately the top 5 cm of the mineral soil, and this sample was used for chemical comparisons but not for calculations of soil mass to 12 cm depth.  </w:t>
      </w:r>
      <w:r w:rsidRPr="000B4E63">
        <w:rPr>
          <w:rFonts w:ascii="Times New Roman" w:hAnsi="Times New Roman" w:cs="Times New Roman"/>
          <w:sz w:val="24"/>
          <w:szCs w:val="24"/>
        </w:rPr>
        <w:t>This sampling procedure permits comparison of soil chemistry for the forest floor (</w:t>
      </w:r>
      <w:proofErr w:type="spellStart"/>
      <w:r w:rsidRPr="000B4E63">
        <w:rPr>
          <w:rFonts w:ascii="Times New Roman" w:hAnsi="Times New Roman" w:cs="Times New Roman"/>
          <w:sz w:val="24"/>
          <w:szCs w:val="24"/>
        </w:rPr>
        <w:t>Oe</w:t>
      </w:r>
      <w:proofErr w:type="spellEnd"/>
      <w:r w:rsidRPr="000B4E63">
        <w:rPr>
          <w:rFonts w:ascii="Times New Roman" w:hAnsi="Times New Roman" w:cs="Times New Roman"/>
          <w:sz w:val="24"/>
          <w:szCs w:val="24"/>
        </w:rPr>
        <w:t xml:space="preserve"> and </w:t>
      </w:r>
      <w:proofErr w:type="spellStart"/>
      <w:r w:rsidRPr="000B4E63">
        <w:rPr>
          <w:rFonts w:ascii="Times New Roman" w:hAnsi="Times New Roman" w:cs="Times New Roman"/>
          <w:sz w:val="24"/>
          <w:szCs w:val="24"/>
        </w:rPr>
        <w:t>Oa</w:t>
      </w:r>
      <w:proofErr w:type="spellEnd"/>
      <w:r w:rsidRPr="000B4E63">
        <w:rPr>
          <w:rFonts w:ascii="Times New Roman" w:hAnsi="Times New Roman" w:cs="Times New Roman"/>
          <w:sz w:val="24"/>
          <w:szCs w:val="24"/>
        </w:rPr>
        <w:t xml:space="preserve"> horizons) and upper mineral soil.  It also permits comparison of the mass and C and N pool sizes for two depth categories: (1) forest floor, and (2) total mass to 12 cm, including the forest floor and whatever depth of mineral soil </w:t>
      </w:r>
      <w:proofErr w:type="gramStart"/>
      <w:r w:rsidRPr="000B4E63">
        <w:rPr>
          <w:rFonts w:ascii="Times New Roman" w:hAnsi="Times New Roman" w:cs="Times New Roman"/>
          <w:sz w:val="24"/>
          <w:szCs w:val="24"/>
        </w:rPr>
        <w:t>was encountered</w:t>
      </w:r>
      <w:proofErr w:type="gramEnd"/>
      <w:r w:rsidRPr="000B4E63">
        <w:rPr>
          <w:rFonts w:ascii="Times New Roman" w:hAnsi="Times New Roman" w:cs="Times New Roman"/>
          <w:sz w:val="24"/>
          <w:szCs w:val="24"/>
        </w:rPr>
        <w:t xml:space="preserve"> to the 12 cm depth.   It does not allow direct comparisons of mineral soil mass or pool sizes because the depth of the sampled mineral soil varied among plots, therefore we do not report mineral soil mass results below. </w:t>
      </w:r>
      <w:r>
        <w:rPr>
          <w:rFonts w:ascii="Times New Roman" w:hAnsi="Times New Roman" w:cs="Times New Roman"/>
          <w:sz w:val="24"/>
          <w:szCs w:val="24"/>
        </w:rPr>
        <w:t xml:space="preserve">A </w:t>
      </w:r>
      <w:r w:rsidRPr="000B4E63">
        <w:rPr>
          <w:rFonts w:ascii="Times New Roman" w:eastAsia="Calibri" w:hAnsi="Times New Roman" w:cs="Times New Roman"/>
          <w:sz w:val="24"/>
          <w:szCs w:val="24"/>
        </w:rPr>
        <w:t xml:space="preserve">subsample </w:t>
      </w:r>
      <w:r>
        <w:rPr>
          <w:rFonts w:ascii="Times New Roman" w:eastAsia="Calibri" w:hAnsi="Times New Roman" w:cs="Times New Roman"/>
          <w:sz w:val="24"/>
          <w:szCs w:val="24"/>
        </w:rPr>
        <w:t xml:space="preserve">of soil </w:t>
      </w:r>
      <w:proofErr w:type="gramStart"/>
      <w:r w:rsidRPr="000B4E63">
        <w:rPr>
          <w:rFonts w:ascii="Times New Roman" w:eastAsia="Calibri" w:hAnsi="Times New Roman" w:cs="Times New Roman"/>
          <w:sz w:val="24"/>
          <w:szCs w:val="24"/>
        </w:rPr>
        <w:t xml:space="preserve">was dried, ground, and analyzed for C and N concentration by dry combustion on </w:t>
      </w:r>
      <w:r>
        <w:rPr>
          <w:rFonts w:ascii="Times New Roman" w:eastAsia="Calibri" w:hAnsi="Times New Roman" w:cs="Times New Roman"/>
          <w:sz w:val="24"/>
          <w:szCs w:val="24"/>
        </w:rPr>
        <w:t xml:space="preserve">a </w:t>
      </w:r>
      <w:proofErr w:type="spellStart"/>
      <w:r w:rsidRPr="000B4E63">
        <w:rPr>
          <w:rFonts w:ascii="Times New Roman" w:eastAsia="Calibri" w:hAnsi="Times New Roman" w:cs="Times New Roman"/>
          <w:sz w:val="24"/>
          <w:szCs w:val="24"/>
        </w:rPr>
        <w:t>Leco</w:t>
      </w:r>
      <w:proofErr w:type="spellEnd"/>
      <w:r w:rsidRPr="000B4E63">
        <w:rPr>
          <w:rFonts w:ascii="Times New Roman" w:eastAsia="Calibri" w:hAnsi="Times New Roman" w:cs="Times New Roman"/>
          <w:sz w:val="24"/>
          <w:szCs w:val="24"/>
        </w:rPr>
        <w:t xml:space="preserve"> CN2000 </w:t>
      </w:r>
      <w:r w:rsidRPr="000B4E63">
        <w:rPr>
          <w:rFonts w:ascii="Times New Roman" w:hAnsi="Times New Roman" w:cs="Times New Roman"/>
          <w:sz w:val="24"/>
          <w:szCs w:val="24"/>
        </w:rPr>
        <w:t xml:space="preserve">or a CE </w:t>
      </w:r>
      <w:proofErr w:type="spellStart"/>
      <w:r w:rsidRPr="000B4E63">
        <w:rPr>
          <w:rFonts w:ascii="Times New Roman" w:hAnsi="Times New Roman" w:cs="Times New Roman"/>
          <w:sz w:val="24"/>
          <w:szCs w:val="24"/>
        </w:rPr>
        <w:t>Elantech</w:t>
      </w:r>
      <w:proofErr w:type="spellEnd"/>
      <w:r w:rsidRPr="000B4E63">
        <w:rPr>
          <w:rFonts w:ascii="Times New Roman" w:hAnsi="Times New Roman" w:cs="Times New Roman"/>
          <w:sz w:val="24"/>
          <w:szCs w:val="24"/>
        </w:rPr>
        <w:t xml:space="preserve"> element </w:t>
      </w:r>
      <w:r w:rsidRPr="000B4E63">
        <w:rPr>
          <w:rFonts w:ascii="Times New Roman" w:eastAsia="Calibri" w:hAnsi="Times New Roman" w:cs="Times New Roman"/>
          <w:sz w:val="24"/>
          <w:szCs w:val="24"/>
        </w:rPr>
        <w:t>analyzer</w:t>
      </w:r>
      <w:proofErr w:type="gramEnd"/>
      <w:r>
        <w:rPr>
          <w:rFonts w:ascii="Times New Roman" w:eastAsia="Calibri" w:hAnsi="Times New Roman" w:cs="Times New Roman"/>
          <w:sz w:val="24"/>
          <w:szCs w:val="24"/>
        </w:rPr>
        <w:t>.</w:t>
      </w:r>
    </w:p>
    <w:p w:rsidR="00225FBA" w:rsidRPr="009E7FE8" w:rsidRDefault="00225FBA" w:rsidP="00225FBA">
      <w:pPr>
        <w:autoSpaceDE w:val="0"/>
        <w:autoSpaceDN w:val="0"/>
        <w:adjustRightInd w:val="0"/>
        <w:spacing w:line="240" w:lineRule="auto"/>
        <w:rPr>
          <w:rFonts w:ascii="Times New Roman" w:eastAsia="Calibri" w:hAnsi="Times New Roman" w:cs="Times New Roman"/>
          <w:sz w:val="24"/>
          <w:szCs w:val="24"/>
          <w:u w:val="single"/>
        </w:rPr>
      </w:pPr>
      <w:r w:rsidRPr="009E7FE8">
        <w:rPr>
          <w:rFonts w:ascii="Times New Roman" w:eastAsia="Calibri" w:hAnsi="Times New Roman" w:cs="Times New Roman"/>
          <w:sz w:val="24"/>
          <w:szCs w:val="24"/>
          <w:u w:val="single"/>
        </w:rPr>
        <w:t>Watershed Codes</w:t>
      </w:r>
      <w:r w:rsidR="009E7FE8" w:rsidRPr="009E7FE8">
        <w:rPr>
          <w:rFonts w:ascii="Times New Roman" w:eastAsia="Calibri" w:hAnsi="Times New Roman" w:cs="Times New Roman"/>
          <w:sz w:val="24"/>
          <w:szCs w:val="24"/>
          <w:u w:val="single"/>
        </w:rPr>
        <w:t xml:space="preserve"> and Species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BB: Biscuit Brook</w:t>
      </w:r>
      <w:proofErr w:type="gramStart"/>
      <w:r w:rsidR="009E7FE8">
        <w:rPr>
          <w:rFonts w:ascii="Times New Roman" w:eastAsia="Calibri" w:hAnsi="Times New Roman" w:cs="Times New Roman"/>
          <w:sz w:val="24"/>
          <w:szCs w:val="24"/>
        </w:rPr>
        <w:t>;  Maple</w:t>
      </w:r>
      <w:proofErr w:type="gramEnd"/>
      <w:r w:rsidR="009E7FE8">
        <w:rPr>
          <w:rFonts w:ascii="Times New Roman" w:eastAsia="Calibri" w:hAnsi="Times New Roman" w:cs="Times New Roman"/>
          <w:sz w:val="24"/>
          <w:szCs w:val="24"/>
        </w:rPr>
        <w:t>, Beech, Birch and Hemlock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BK: Batavia Kill</w:t>
      </w:r>
      <w:r w:rsidR="009E7FE8">
        <w:rPr>
          <w:rFonts w:ascii="Times New Roman" w:eastAsia="Calibri" w:hAnsi="Times New Roman" w:cs="Times New Roman"/>
          <w:sz w:val="24"/>
          <w:szCs w:val="24"/>
        </w:rPr>
        <w:t>; Oak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CL: Colgate Lake</w:t>
      </w:r>
      <w:r w:rsidR="009E7FE8">
        <w:rPr>
          <w:rFonts w:ascii="Times New Roman" w:eastAsia="Calibri" w:hAnsi="Times New Roman" w:cs="Times New Roman"/>
          <w:sz w:val="24"/>
          <w:szCs w:val="24"/>
        </w:rPr>
        <w:t>; Oak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KB: </w:t>
      </w:r>
      <w:proofErr w:type="spellStart"/>
      <w:r>
        <w:rPr>
          <w:rFonts w:ascii="Times New Roman" w:eastAsia="Calibri" w:hAnsi="Times New Roman" w:cs="Times New Roman"/>
          <w:sz w:val="24"/>
          <w:szCs w:val="24"/>
        </w:rPr>
        <w:t>Kanape</w:t>
      </w:r>
      <w:proofErr w:type="spellEnd"/>
      <w:r>
        <w:rPr>
          <w:rFonts w:ascii="Times New Roman" w:eastAsia="Calibri" w:hAnsi="Times New Roman" w:cs="Times New Roman"/>
          <w:sz w:val="24"/>
          <w:szCs w:val="24"/>
        </w:rPr>
        <w:t xml:space="preserve"> Brook</w:t>
      </w:r>
      <w:r w:rsidR="009E7FE8">
        <w:rPr>
          <w:rFonts w:ascii="Times New Roman" w:eastAsia="Calibri" w:hAnsi="Times New Roman" w:cs="Times New Roman"/>
          <w:sz w:val="24"/>
          <w:szCs w:val="24"/>
        </w:rPr>
        <w:t>; Oak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DN: Diamond Notch</w:t>
      </w:r>
      <w:r w:rsidR="009E7FE8">
        <w:rPr>
          <w:rFonts w:ascii="Times New Roman" w:eastAsia="Calibri" w:hAnsi="Times New Roman" w:cs="Times New Roman"/>
          <w:sz w:val="24"/>
          <w:szCs w:val="24"/>
        </w:rPr>
        <w:t>; Maple and Beech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RO: </w:t>
      </w:r>
      <w:proofErr w:type="spellStart"/>
      <w:r>
        <w:rPr>
          <w:rFonts w:ascii="Times New Roman" w:eastAsia="Calibri" w:hAnsi="Times New Roman" w:cs="Times New Roman"/>
          <w:sz w:val="24"/>
          <w:szCs w:val="24"/>
        </w:rPr>
        <w:t>Rondout</w:t>
      </w:r>
      <w:proofErr w:type="spellEnd"/>
      <w:r w:rsidR="009E7FE8">
        <w:rPr>
          <w:rFonts w:ascii="Times New Roman" w:eastAsia="Calibri" w:hAnsi="Times New Roman" w:cs="Times New Roman"/>
          <w:sz w:val="24"/>
          <w:szCs w:val="24"/>
        </w:rPr>
        <w:t>; Maple, Beech, Birch and Hemlock plots</w:t>
      </w:r>
    </w:p>
    <w:p w:rsidR="00225FBA" w:rsidRDefault="00225FBA" w:rsidP="00225FBA">
      <w:pPr>
        <w:autoSpaceDE w:val="0"/>
        <w:autoSpaceDN w:val="0"/>
        <w:adjustRightInd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  </w:t>
      </w:r>
      <w:proofErr w:type="spellStart"/>
      <w:r>
        <w:rPr>
          <w:rFonts w:ascii="Times New Roman" w:eastAsia="Calibri" w:hAnsi="Times New Roman" w:cs="Times New Roman"/>
          <w:sz w:val="24"/>
          <w:szCs w:val="24"/>
        </w:rPr>
        <w:t>Prediger</w:t>
      </w:r>
      <w:proofErr w:type="spellEnd"/>
      <w:r>
        <w:rPr>
          <w:rFonts w:ascii="Times New Roman" w:eastAsia="Calibri" w:hAnsi="Times New Roman" w:cs="Times New Roman"/>
          <w:sz w:val="24"/>
          <w:szCs w:val="24"/>
        </w:rPr>
        <w:t xml:space="preserve"> Road</w:t>
      </w:r>
      <w:r w:rsidR="009E7FE8">
        <w:rPr>
          <w:rFonts w:ascii="Times New Roman" w:eastAsia="Calibri" w:hAnsi="Times New Roman" w:cs="Times New Roman"/>
          <w:sz w:val="24"/>
          <w:szCs w:val="24"/>
        </w:rPr>
        <w:t>; Birch and Hemlock plots</w:t>
      </w:r>
    </w:p>
    <w:p w:rsidR="009E7FE8" w:rsidRDefault="009E7FE8" w:rsidP="00225FBA">
      <w:pPr>
        <w:autoSpaceDE w:val="0"/>
        <w:autoSpaceDN w:val="0"/>
        <w:adjustRightInd w:val="0"/>
        <w:spacing w:line="240" w:lineRule="auto"/>
        <w:rPr>
          <w:rFonts w:ascii="Times New Roman" w:eastAsia="Calibri" w:hAnsi="Times New Roman" w:cs="Times New Roman"/>
          <w:sz w:val="24"/>
          <w:szCs w:val="24"/>
        </w:rPr>
      </w:pPr>
    </w:p>
    <w:p w:rsidR="009E7FE8" w:rsidRPr="009E7FE8" w:rsidRDefault="009E7FE8" w:rsidP="00225FBA">
      <w:pPr>
        <w:autoSpaceDE w:val="0"/>
        <w:autoSpaceDN w:val="0"/>
        <w:adjustRightInd w:val="0"/>
        <w:spacing w:line="240" w:lineRule="auto"/>
        <w:rPr>
          <w:rFonts w:ascii="Times New Roman" w:hAnsi="Times New Roman" w:cs="Times New Roman"/>
          <w:sz w:val="24"/>
          <w:szCs w:val="24"/>
          <w:u w:val="single"/>
        </w:rPr>
      </w:pPr>
      <w:r w:rsidRPr="009E7FE8">
        <w:rPr>
          <w:rFonts w:ascii="Times New Roman" w:eastAsia="Calibri" w:hAnsi="Times New Roman" w:cs="Times New Roman"/>
          <w:sz w:val="24"/>
          <w:szCs w:val="24"/>
          <w:u w:val="single"/>
        </w:rPr>
        <w:t xml:space="preserve">Plot Locations and elevations </w:t>
      </w:r>
    </w:p>
    <w:tbl>
      <w:tblPr>
        <w:tblW w:w="9400" w:type="dxa"/>
        <w:tblLook w:val="04A0" w:firstRow="1" w:lastRow="0" w:firstColumn="1" w:lastColumn="0" w:noHBand="0" w:noVBand="1"/>
      </w:tblPr>
      <w:tblGrid>
        <w:gridCol w:w="1565"/>
        <w:gridCol w:w="1170"/>
        <w:gridCol w:w="590"/>
        <w:gridCol w:w="2410"/>
        <w:gridCol w:w="2475"/>
        <w:gridCol w:w="1136"/>
        <w:gridCol w:w="222"/>
      </w:tblGrid>
      <w:tr w:rsidR="009E7FE8" w:rsidRPr="009E7FE8" w:rsidTr="009E7FE8">
        <w:trPr>
          <w:trHeight w:val="360"/>
        </w:trPr>
        <w:tc>
          <w:tcPr>
            <w:tcW w:w="9400" w:type="dxa"/>
            <w:gridSpan w:val="7"/>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rPr>
            </w:pPr>
            <w:r w:rsidRPr="009E7FE8">
              <w:rPr>
                <w:rFonts w:ascii="Arial" w:eastAsia="Times New Roman" w:hAnsi="Arial" w:cs="Arial"/>
                <w:b/>
                <w:bCs/>
              </w:rPr>
              <w:t>Catskill Nutrient Cycling Plot Locations and Elevations (Lovett, Weathers, Arthur)</w:t>
            </w: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8"/>
                <w:szCs w:val="28"/>
              </w:rPr>
            </w:pP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Times New Roman" w:eastAsia="Times New Roman" w:hAnsi="Times New Roman" w:cs="Times New Roman"/>
                <w:sz w:val="20"/>
                <w:szCs w:val="20"/>
              </w:rPr>
            </w:pPr>
          </w:p>
        </w:tc>
        <w:tc>
          <w:tcPr>
            <w:tcW w:w="5475" w:type="dxa"/>
            <w:gridSpan w:val="3"/>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*Post Processed Trimble GPS readings; WGS 84 datum</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Times New Roman" w:eastAsia="Times New Roman" w:hAnsi="Times New Roman" w:cs="Times New Roman"/>
                <w:sz w:val="20"/>
                <w:szCs w:val="20"/>
              </w:rPr>
            </w:pPr>
          </w:p>
        </w:tc>
      </w:tr>
      <w:tr w:rsidR="009E7FE8" w:rsidRPr="009E7FE8" w:rsidTr="009E7FE8">
        <w:trPr>
          <w:trHeight w:val="255"/>
        </w:trPr>
        <w:tc>
          <w:tcPr>
            <w:tcW w:w="1565"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r w:rsidRPr="009E7FE8">
              <w:rPr>
                <w:rFonts w:ascii="Arial" w:eastAsia="Times New Roman" w:hAnsi="Arial" w:cs="Arial"/>
                <w:b/>
                <w:bCs/>
                <w:sz w:val="20"/>
                <w:szCs w:val="20"/>
              </w:rPr>
              <w:t>Watershed</w:t>
            </w:r>
          </w:p>
        </w:tc>
        <w:tc>
          <w:tcPr>
            <w:tcW w:w="1170"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r w:rsidRPr="009E7FE8">
              <w:rPr>
                <w:rFonts w:ascii="Arial" w:eastAsia="Times New Roman" w:hAnsi="Arial" w:cs="Arial"/>
                <w:b/>
                <w:bCs/>
                <w:sz w:val="20"/>
                <w:szCs w:val="20"/>
              </w:rPr>
              <w:t>Species</w:t>
            </w:r>
          </w:p>
        </w:tc>
        <w:tc>
          <w:tcPr>
            <w:tcW w:w="590"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r w:rsidRPr="009E7FE8">
              <w:rPr>
                <w:rFonts w:ascii="Arial" w:eastAsia="Times New Roman" w:hAnsi="Arial" w:cs="Arial"/>
                <w:b/>
                <w:bCs/>
                <w:sz w:val="20"/>
                <w:szCs w:val="20"/>
              </w:rPr>
              <w:t>Site</w:t>
            </w:r>
          </w:p>
        </w:tc>
        <w:tc>
          <w:tcPr>
            <w:tcW w:w="2410"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proofErr w:type="spellStart"/>
            <w:r w:rsidRPr="009E7FE8">
              <w:rPr>
                <w:rFonts w:ascii="Arial" w:eastAsia="Times New Roman" w:hAnsi="Arial" w:cs="Arial"/>
                <w:b/>
                <w:bCs/>
                <w:sz w:val="20"/>
                <w:szCs w:val="20"/>
              </w:rPr>
              <w:t>Lat</w:t>
            </w:r>
            <w:proofErr w:type="spellEnd"/>
          </w:p>
        </w:tc>
        <w:tc>
          <w:tcPr>
            <w:tcW w:w="2475"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r w:rsidRPr="009E7FE8">
              <w:rPr>
                <w:rFonts w:ascii="Arial" w:eastAsia="Times New Roman" w:hAnsi="Arial" w:cs="Arial"/>
                <w:b/>
                <w:bCs/>
                <w:sz w:val="20"/>
                <w:szCs w:val="20"/>
              </w:rPr>
              <w:t>Long</w:t>
            </w:r>
          </w:p>
        </w:tc>
        <w:tc>
          <w:tcPr>
            <w:tcW w:w="1136" w:type="dxa"/>
            <w:tcBorders>
              <w:top w:val="nil"/>
              <w:left w:val="nil"/>
              <w:bottom w:val="single" w:sz="4" w:space="0" w:color="auto"/>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proofErr w:type="spellStart"/>
            <w:r w:rsidRPr="009E7FE8">
              <w:rPr>
                <w:rFonts w:ascii="Arial" w:eastAsia="Times New Roman" w:hAnsi="Arial" w:cs="Arial"/>
                <w:b/>
                <w:bCs/>
                <w:sz w:val="20"/>
                <w:szCs w:val="20"/>
              </w:rPr>
              <w:t>Elev</w:t>
            </w:r>
            <w:proofErr w:type="spellEnd"/>
            <w:r w:rsidRPr="009E7FE8">
              <w:rPr>
                <w:rFonts w:ascii="Arial" w:eastAsia="Times New Roman" w:hAnsi="Arial" w:cs="Arial"/>
                <w:b/>
                <w:bCs/>
                <w:sz w:val="20"/>
                <w:szCs w:val="20"/>
              </w:rPr>
              <w:t xml:space="preserve"> (</w:t>
            </w:r>
            <w:proofErr w:type="spellStart"/>
            <w:r w:rsidRPr="009E7FE8">
              <w:rPr>
                <w:rFonts w:ascii="Arial" w:eastAsia="Times New Roman" w:hAnsi="Arial" w:cs="Arial"/>
                <w:b/>
                <w:bCs/>
                <w:sz w:val="20"/>
                <w:szCs w:val="20"/>
              </w:rPr>
              <w:t>ft</w:t>
            </w:r>
            <w:proofErr w:type="spellEnd"/>
            <w:r w:rsidRPr="009E7FE8">
              <w:rPr>
                <w:rFonts w:ascii="Arial" w:eastAsia="Times New Roman" w:hAnsi="Arial" w:cs="Arial"/>
                <w:b/>
                <w:bCs/>
                <w:sz w:val="20"/>
                <w:szCs w:val="20"/>
              </w:rPr>
              <w:t>)</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b/>
                <w:bCs/>
                <w:sz w:val="20"/>
                <w:szCs w:val="20"/>
              </w:rPr>
            </w:pPr>
          </w:p>
        </w:tc>
        <w:bookmarkStart w:id="0" w:name="_GoBack"/>
        <w:bookmarkEnd w:id="0"/>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46.49206</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32.86626</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2321</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40.33382</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42.12050</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2208</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39.51262</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30 00.27676</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2000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32.13266</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30 02.92686</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1988</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36.72664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55.34350</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2175</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46.49206</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32.86626</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2321</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46.00874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52.87199</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2000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59 50.92834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29 48.01985</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2000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BK</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17 47.28801</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07 06.45723</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2608</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BK</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17 47.28801</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07 06.45723</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2590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CL</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14 15.11798</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07 02.74233</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2100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CL</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14 15.11798</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07 02.74233</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2100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DN</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09 29.07236</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15 27.09250</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2430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DN</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09 31.72119</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15 21.98958</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2600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DN</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09 28.90206</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15 38.38651</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2175</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DN</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09 16.77845</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15 44.99491</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2120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KB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55 12.67904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18 25.02658</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1695</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KB</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O</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55 07.69608</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18 17.89315</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1710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PR</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07 25.84403</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06 10.01905</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2495</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PR</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07 25.84403</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06 10.01905</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2495</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PR</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07 07.49222</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06 59.52468</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3130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PR</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42 07 11.05953</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07 09.37068</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2890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34.31034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21 55.62257</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1720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B</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30.90</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23 24.12</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2350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29.18624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22 06.67004</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1730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H</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25.38</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23 19.02</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2300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21.43047</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 xml:space="preserve">W 74 22 17.55440 </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1810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M</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15.15065</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22 22.14807</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1700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29.18624</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W 74 22 06.67004</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1840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r w:rsidR="009E7FE8" w:rsidRPr="009E7FE8" w:rsidTr="009E7FE8">
        <w:trPr>
          <w:trHeight w:val="255"/>
        </w:trPr>
        <w:tc>
          <w:tcPr>
            <w:tcW w:w="156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RO</w:t>
            </w:r>
          </w:p>
        </w:tc>
        <w:tc>
          <w:tcPr>
            <w:tcW w:w="117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Y</w:t>
            </w:r>
          </w:p>
        </w:tc>
        <w:tc>
          <w:tcPr>
            <w:tcW w:w="59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2</w:t>
            </w:r>
          </w:p>
        </w:tc>
        <w:tc>
          <w:tcPr>
            <w:tcW w:w="2410"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N 41 56 21.43047</w:t>
            </w:r>
          </w:p>
        </w:tc>
        <w:tc>
          <w:tcPr>
            <w:tcW w:w="2475"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rPr>
                <w:rFonts w:ascii="Arial" w:eastAsia="Times New Roman" w:hAnsi="Arial" w:cs="Arial"/>
                <w:sz w:val="20"/>
                <w:szCs w:val="20"/>
              </w:rPr>
            </w:pPr>
            <w:r w:rsidRPr="009E7FE8">
              <w:rPr>
                <w:rFonts w:ascii="Arial" w:eastAsia="Times New Roman" w:hAnsi="Arial" w:cs="Arial"/>
                <w:sz w:val="20"/>
                <w:szCs w:val="20"/>
              </w:rPr>
              <w:t xml:space="preserve">W 74 22 17.55440 </w:t>
            </w:r>
          </w:p>
        </w:tc>
        <w:tc>
          <w:tcPr>
            <w:tcW w:w="1136"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r w:rsidRPr="009E7FE8">
              <w:rPr>
                <w:rFonts w:ascii="Arial" w:eastAsia="Times New Roman" w:hAnsi="Arial" w:cs="Arial"/>
                <w:sz w:val="20"/>
                <w:szCs w:val="20"/>
              </w:rPr>
              <w:t>1590</w:t>
            </w:r>
          </w:p>
        </w:tc>
        <w:tc>
          <w:tcPr>
            <w:tcW w:w="54" w:type="dxa"/>
            <w:tcBorders>
              <w:top w:val="nil"/>
              <w:left w:val="nil"/>
              <w:bottom w:val="nil"/>
              <w:right w:val="nil"/>
            </w:tcBorders>
            <w:shd w:val="clear" w:color="auto" w:fill="auto"/>
            <w:noWrap/>
            <w:vAlign w:val="bottom"/>
            <w:hideMark/>
          </w:tcPr>
          <w:p w:rsidR="009E7FE8" w:rsidRPr="009E7FE8" w:rsidRDefault="009E7FE8" w:rsidP="009E7FE8">
            <w:pPr>
              <w:spacing w:after="0" w:line="240" w:lineRule="auto"/>
              <w:jc w:val="right"/>
              <w:rPr>
                <w:rFonts w:ascii="Arial" w:eastAsia="Times New Roman" w:hAnsi="Arial" w:cs="Arial"/>
                <w:sz w:val="20"/>
                <w:szCs w:val="20"/>
              </w:rPr>
            </w:pPr>
          </w:p>
        </w:tc>
      </w:tr>
    </w:tbl>
    <w:p w:rsidR="00225FBA" w:rsidRDefault="00225FBA"/>
    <w:sectPr w:rsidR="00225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BA"/>
    <w:rsid w:val="00225FBA"/>
    <w:rsid w:val="009E7FE8"/>
    <w:rsid w:val="00FC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444E"/>
  <w15:chartTrackingRefBased/>
  <w15:docId w15:val="{BD8A8214-E26B-4587-97D3-BB67A711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Lovett</dc:creator>
  <cp:keywords/>
  <dc:description/>
  <cp:lastModifiedBy>Gary Lovett</cp:lastModifiedBy>
  <cp:revision>1</cp:revision>
  <dcterms:created xsi:type="dcterms:W3CDTF">2018-09-18T18:46:00Z</dcterms:created>
  <dcterms:modified xsi:type="dcterms:W3CDTF">2018-09-18T19:01:00Z</dcterms:modified>
</cp:coreProperties>
</file>