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29E68" w14:textId="77777777" w:rsidR="0078547C" w:rsidRDefault="00000000">
      <w:pPr>
        <w:pStyle w:val="likeheader"/>
      </w:pPr>
      <w:r>
        <w:t xml:space="preserve">OMB No. 0925-0001 and 0925-0002 (Rev. 10/2021 Approved Through 01/31/2026) </w:t>
      </w:r>
      <w:r w:rsidR="00957E69" w:rsidRPr="00957E69">
        <w:rPr>
          <w:noProof/>
          <w:bdr w:val="none" w:sz="0" w:space="0" w:color="auto"/>
        </w:rPr>
        <w:pict w14:anchorId="6967AFAF">
          <v:rect id="_x0000_i1025" alt="" style="width:468pt;height:.05pt;mso-width-percent:0;mso-height-percent:0;mso-width-percent:0;mso-height-percent:0" o:hralign="center" o:hrstd="t" o:hr="t" fillcolor="gray" stroked="f">
            <v:path strokeok="f"/>
          </v:rect>
        </w:pict>
      </w:r>
    </w:p>
    <w:p w14:paraId="0693C7FD" w14:textId="77777777" w:rsidR="0078547C" w:rsidRDefault="00000000">
      <w:pPr>
        <w:pStyle w:val="h3center"/>
      </w:pPr>
      <w:r>
        <w:rPr>
          <w:rFonts w:ascii="Arial" w:eastAsia="Arial" w:hAnsi="Arial" w:cs="Arial"/>
          <w:sz w:val="26"/>
          <w:szCs w:val="26"/>
        </w:rPr>
        <w:t>BIOGRAPHICAL SKETCH</w:t>
      </w:r>
    </w:p>
    <w:p w14:paraId="6E6BDDF8" w14:textId="77777777" w:rsidR="0078547C" w:rsidRDefault="00000000">
      <w:pPr>
        <w:jc w:val="center"/>
      </w:pPr>
      <w:r>
        <w:rPr>
          <w:sz w:val="16"/>
          <w:szCs w:val="16"/>
        </w:rPr>
        <w:t>Provide the following information for the Senior/key personnel and other significant contributors.</w:t>
      </w:r>
    </w:p>
    <w:p w14:paraId="3B2F619D" w14:textId="77777777" w:rsidR="0078547C" w:rsidRDefault="00000000">
      <w:pPr>
        <w:spacing w:after="75"/>
        <w:jc w:val="center"/>
      </w:pPr>
      <w:r>
        <w:rPr>
          <w:sz w:val="16"/>
          <w:szCs w:val="16"/>
        </w:rP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78547C" w14:paraId="2F027139" w14:textId="77777777">
        <w:tc>
          <w:tcPr>
            <w:tcW w:w="4530" w:type="dxa"/>
            <w:tcBorders>
              <w:top w:val="inset" w:sz="6" w:space="0" w:color="808080"/>
              <w:bottom w:val="single" w:sz="6" w:space="0" w:color="000000"/>
            </w:tcBorders>
            <w:tcMar>
              <w:top w:w="15" w:type="dxa"/>
              <w:left w:w="15" w:type="dxa"/>
              <w:bottom w:w="15" w:type="dxa"/>
              <w:right w:w="15" w:type="dxa"/>
            </w:tcMar>
          </w:tcPr>
          <w:p w14:paraId="23C09AE1" w14:textId="0037CB46" w:rsidR="0078547C" w:rsidRDefault="00000000">
            <w:r>
              <w:t>NAME: Gordon, Jonathan</w:t>
            </w:r>
            <w:r w:rsidR="00BE7803">
              <w:t xml:space="preserve"> Alexander Robert</w:t>
            </w:r>
          </w:p>
        </w:tc>
      </w:tr>
      <w:tr w:rsidR="0078547C" w14:paraId="1FFAC8DE" w14:textId="77777777">
        <w:tc>
          <w:tcPr>
            <w:tcW w:w="0" w:type="auto"/>
            <w:tcBorders>
              <w:top w:val="inset" w:sz="6" w:space="0" w:color="808080"/>
              <w:bottom w:val="single" w:sz="6" w:space="0" w:color="000000"/>
            </w:tcBorders>
            <w:tcMar>
              <w:top w:w="15" w:type="dxa"/>
              <w:left w:w="15" w:type="dxa"/>
              <w:bottom w:w="15" w:type="dxa"/>
              <w:right w:w="15" w:type="dxa"/>
            </w:tcMar>
          </w:tcPr>
          <w:p w14:paraId="0BBE5620" w14:textId="77777777" w:rsidR="0078547C" w:rsidRDefault="00000000">
            <w:proofErr w:type="spellStart"/>
            <w:r>
              <w:t>eRA</w:t>
            </w:r>
            <w:proofErr w:type="spellEnd"/>
            <w:r>
              <w:t xml:space="preserve"> COMMONS USER NAME (credential, e.g., agency login): </w:t>
            </w:r>
            <w:proofErr w:type="spellStart"/>
            <w:r>
              <w:t>gordonjar</w:t>
            </w:r>
            <w:proofErr w:type="spellEnd"/>
          </w:p>
        </w:tc>
      </w:tr>
      <w:tr w:rsidR="0078547C" w14:paraId="48E4291F" w14:textId="77777777">
        <w:tc>
          <w:tcPr>
            <w:tcW w:w="0" w:type="auto"/>
            <w:tcBorders>
              <w:top w:val="inset" w:sz="6" w:space="0" w:color="808080"/>
              <w:bottom w:val="single" w:sz="6" w:space="0" w:color="000000"/>
            </w:tcBorders>
            <w:tcMar>
              <w:top w:w="15" w:type="dxa"/>
              <w:left w:w="15" w:type="dxa"/>
              <w:bottom w:w="15" w:type="dxa"/>
              <w:right w:w="15" w:type="dxa"/>
            </w:tcMar>
          </w:tcPr>
          <w:p w14:paraId="72F8ABCF" w14:textId="77777777" w:rsidR="0078547C" w:rsidRDefault="00000000">
            <w:r>
              <w:t>POSITION TITLE: Assistant Professor</w:t>
            </w:r>
          </w:p>
        </w:tc>
      </w:tr>
    </w:tbl>
    <w:p w14:paraId="740A6CF0" w14:textId="77777777" w:rsidR="0078547C" w:rsidRDefault="00000000">
      <w:pPr>
        <w:pStyle w:val="sectionEducationsectionHeader"/>
      </w:pPr>
      <w:r>
        <w:t xml:space="preserve">EDUCATION/TRAINING </w:t>
      </w:r>
      <w:r>
        <w:rPr>
          <w:i/>
          <w:iCs/>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846"/>
        <w:gridCol w:w="1518"/>
        <w:gridCol w:w="1296"/>
        <w:gridCol w:w="3140"/>
      </w:tblGrid>
      <w:tr w:rsidR="0078547C" w14:paraId="6F4C901B" w14:textId="77777777">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4F023BDB" w14:textId="77777777" w:rsidR="0078547C" w:rsidRDefault="00000000">
            <w:pPr>
              <w:jc w:val="center"/>
            </w:pPr>
            <w: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23BF2663" w14:textId="77777777" w:rsidR="0078547C" w:rsidRDefault="00000000">
            <w:pPr>
              <w:jc w:val="center"/>
            </w:pPr>
            <w:r>
              <w:t>DEGREE</w:t>
            </w:r>
            <w: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77307808" w14:textId="77777777" w:rsidR="0078547C" w:rsidRDefault="00000000">
            <w:pPr>
              <w:jc w:val="center"/>
            </w:pPr>
            <w:r>
              <w:t>END DATE</w:t>
            </w:r>
            <w: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1979C378" w14:textId="77777777" w:rsidR="0078547C" w:rsidRDefault="00000000">
            <w:pPr>
              <w:jc w:val="center"/>
            </w:pPr>
            <w:r>
              <w:t>FIELD OF STUDY</w:t>
            </w:r>
          </w:p>
        </w:tc>
      </w:tr>
      <w:tr w:rsidR="0078547C" w14:paraId="316C5122" w14:textId="77777777">
        <w:tc>
          <w:tcPr>
            <w:tcW w:w="0" w:type="auto"/>
            <w:tcBorders>
              <w:right w:val="single" w:sz="6" w:space="0" w:color="000000"/>
            </w:tcBorders>
            <w:tcMar>
              <w:top w:w="15" w:type="dxa"/>
              <w:left w:w="15" w:type="dxa"/>
              <w:bottom w:w="15" w:type="dxa"/>
              <w:right w:w="15" w:type="dxa"/>
            </w:tcMar>
          </w:tcPr>
          <w:p w14:paraId="674160E1" w14:textId="77777777" w:rsidR="0078547C" w:rsidRDefault="00000000">
            <w:r>
              <w:t>University of Western Ontario, London, ON</w:t>
            </w:r>
          </w:p>
        </w:tc>
        <w:tc>
          <w:tcPr>
            <w:tcW w:w="0" w:type="auto"/>
            <w:tcBorders>
              <w:left w:val="inset" w:sz="6" w:space="0" w:color="808080"/>
              <w:right w:val="single" w:sz="6" w:space="0" w:color="000000"/>
            </w:tcBorders>
            <w:tcMar>
              <w:top w:w="15" w:type="dxa"/>
              <w:left w:w="15" w:type="dxa"/>
              <w:bottom w:w="15" w:type="dxa"/>
              <w:right w:w="15" w:type="dxa"/>
            </w:tcMar>
          </w:tcPr>
          <w:p w14:paraId="522E885B" w14:textId="77777777" w:rsidR="0078547C" w:rsidRDefault="00000000">
            <w:pPr>
              <w:jc w:val="center"/>
            </w:pPr>
            <w:r>
              <w:t>BS</w:t>
            </w:r>
          </w:p>
        </w:tc>
        <w:tc>
          <w:tcPr>
            <w:tcW w:w="0" w:type="auto"/>
            <w:tcBorders>
              <w:left w:val="inset" w:sz="6" w:space="0" w:color="808080"/>
              <w:right w:val="single" w:sz="6" w:space="0" w:color="000000"/>
            </w:tcBorders>
            <w:tcMar>
              <w:top w:w="15" w:type="dxa"/>
              <w:left w:w="15" w:type="dxa"/>
              <w:bottom w:w="15" w:type="dxa"/>
              <w:right w:w="15" w:type="dxa"/>
            </w:tcMar>
          </w:tcPr>
          <w:p w14:paraId="5E31E51F" w14:textId="77777777" w:rsidR="0078547C" w:rsidRDefault="00000000">
            <w:pPr>
              <w:jc w:val="center"/>
            </w:pPr>
            <w:r>
              <w:t>06/1999</w:t>
            </w:r>
          </w:p>
        </w:tc>
        <w:tc>
          <w:tcPr>
            <w:tcW w:w="0" w:type="auto"/>
            <w:tcBorders>
              <w:left w:val="inset" w:sz="6" w:space="0" w:color="808080"/>
            </w:tcBorders>
            <w:tcMar>
              <w:top w:w="15" w:type="dxa"/>
              <w:left w:w="15" w:type="dxa"/>
              <w:bottom w:w="15" w:type="dxa"/>
              <w:right w:w="15" w:type="dxa"/>
            </w:tcMar>
          </w:tcPr>
          <w:p w14:paraId="3B2FBCD7" w14:textId="77777777" w:rsidR="0078547C" w:rsidRDefault="00000000">
            <w:r>
              <w:t>Chemistry and Biochemistry</w:t>
            </w:r>
          </w:p>
        </w:tc>
      </w:tr>
      <w:tr w:rsidR="0078547C" w14:paraId="23D9F50B" w14:textId="77777777">
        <w:tc>
          <w:tcPr>
            <w:tcW w:w="0" w:type="auto"/>
            <w:tcBorders>
              <w:right w:val="single" w:sz="6" w:space="0" w:color="000000"/>
            </w:tcBorders>
            <w:tcMar>
              <w:top w:w="15" w:type="dxa"/>
              <w:left w:w="15" w:type="dxa"/>
              <w:bottom w:w="15" w:type="dxa"/>
              <w:right w:w="15" w:type="dxa"/>
            </w:tcMar>
          </w:tcPr>
          <w:p w14:paraId="237154B4" w14:textId="77777777" w:rsidR="0078547C" w:rsidRDefault="00000000">
            <w:r>
              <w:t>University of Western Ontario, London , ON</w:t>
            </w:r>
          </w:p>
        </w:tc>
        <w:tc>
          <w:tcPr>
            <w:tcW w:w="0" w:type="auto"/>
            <w:tcBorders>
              <w:left w:val="inset" w:sz="6" w:space="0" w:color="808080"/>
              <w:right w:val="single" w:sz="6" w:space="0" w:color="000000"/>
            </w:tcBorders>
            <w:tcMar>
              <w:top w:w="15" w:type="dxa"/>
              <w:left w:w="15" w:type="dxa"/>
              <w:bottom w:w="15" w:type="dxa"/>
              <w:right w:w="15" w:type="dxa"/>
            </w:tcMar>
          </w:tcPr>
          <w:p w14:paraId="4DCB3E94" w14:textId="77777777" w:rsidR="0078547C" w:rsidRDefault="00000000">
            <w:pPr>
              <w:jc w:val="center"/>
            </w:pPr>
            <w:r>
              <w:t>PHD</w:t>
            </w:r>
          </w:p>
        </w:tc>
        <w:tc>
          <w:tcPr>
            <w:tcW w:w="0" w:type="auto"/>
            <w:tcBorders>
              <w:left w:val="inset" w:sz="6" w:space="0" w:color="808080"/>
              <w:right w:val="single" w:sz="6" w:space="0" w:color="000000"/>
            </w:tcBorders>
            <w:tcMar>
              <w:top w:w="15" w:type="dxa"/>
              <w:left w:w="15" w:type="dxa"/>
              <w:bottom w:w="15" w:type="dxa"/>
              <w:right w:w="15" w:type="dxa"/>
            </w:tcMar>
          </w:tcPr>
          <w:p w14:paraId="092C8EA8" w14:textId="77777777" w:rsidR="0078547C" w:rsidRDefault="00000000">
            <w:pPr>
              <w:jc w:val="center"/>
            </w:pPr>
            <w:r>
              <w:t>10/2006</w:t>
            </w:r>
          </w:p>
        </w:tc>
        <w:tc>
          <w:tcPr>
            <w:tcW w:w="0" w:type="auto"/>
            <w:tcBorders>
              <w:left w:val="inset" w:sz="6" w:space="0" w:color="808080"/>
            </w:tcBorders>
            <w:tcMar>
              <w:top w:w="15" w:type="dxa"/>
              <w:left w:w="15" w:type="dxa"/>
              <w:bottom w:w="15" w:type="dxa"/>
              <w:right w:w="15" w:type="dxa"/>
            </w:tcMar>
          </w:tcPr>
          <w:p w14:paraId="0D69832C" w14:textId="77777777" w:rsidR="0078547C" w:rsidRDefault="00000000">
            <w:r>
              <w:t>Biochemistry</w:t>
            </w:r>
          </w:p>
        </w:tc>
      </w:tr>
    </w:tbl>
    <w:p w14:paraId="7B9A7A77" w14:textId="77777777" w:rsidR="0078547C" w:rsidRDefault="00000000">
      <w:pPr>
        <w:pStyle w:val="Heading3"/>
      </w:pPr>
      <w:r>
        <w:rPr>
          <w:rFonts w:ascii="Arial" w:eastAsia="Arial" w:hAnsi="Arial" w:cs="Arial"/>
          <w:sz w:val="26"/>
          <w:szCs w:val="26"/>
        </w:rPr>
        <w:t>A. Personal Statement</w:t>
      </w:r>
    </w:p>
    <w:p w14:paraId="70590E67" w14:textId="77777777" w:rsidR="0078547C" w:rsidRDefault="00000000">
      <w:pPr>
        <w:spacing w:before="220" w:after="220"/>
      </w:pPr>
      <w:r>
        <w:t xml:space="preserve">My research career has been centered on examining bone formation from a variety of scientific perspectives including biochemistry, genomics, bioinformatics, cell biology, developmental biology and molecular biology. My current research focuses on understanding epigenetic mechanisms of MSC cell commitment to the osteogenic lineage resulting in bone formation. These processes include the involvement of transcriptional regulators, early chromatin remodeling events and RNA-related regulation. These temporal and coordinated epigenetic mechanisms are critically important in the commitment of pluripotent progenitors. This research has obvious implications for understanding multipotent stem cell commitment that promotes osteogenesis rather than adipogenesis and could potentially lead to novel therapies to increase bone mass in chronic disease conditions, such as osteoporosis, osteoarthritis and age-related bone loss, and regenerate bone in acute traumas. The proposed project leverages my knowledge of MSC differentiation and epigenetic-related mechanisms in bone formation to examine osteogenic, </w:t>
      </w:r>
      <w:proofErr w:type="spellStart"/>
      <w:r>
        <w:t>adipogenic</w:t>
      </w:r>
      <w:proofErr w:type="spellEnd"/>
      <w:r>
        <w:t xml:space="preserve"> and fibroblastic lineage commitment of MSCs in a novel and unique way.</w:t>
      </w:r>
    </w:p>
    <w:p w14:paraId="238A8A45" w14:textId="77777777" w:rsidR="0078547C" w:rsidRDefault="00000000">
      <w:pPr>
        <w:pStyle w:val="citationUlliParagraph"/>
        <w:numPr>
          <w:ilvl w:val="0"/>
          <w:numId w:val="1"/>
        </w:numPr>
        <w:spacing w:before="220"/>
      </w:pPr>
      <w:r>
        <w:t xml:space="preserve">Wu H, Gordon JA, Whitfield TW, Tai PW, van </w:t>
      </w:r>
      <w:proofErr w:type="spellStart"/>
      <w:r>
        <w:t>Wijnen</w:t>
      </w:r>
      <w:proofErr w:type="spellEnd"/>
      <w:r>
        <w:t xml:space="preserve"> AJ, Stein JL, Stein GS, Lian JB. Chromatin dynamics regulate mesenchymal stem cell lineage specification and differentiation to osteogenesis. </w:t>
      </w:r>
      <w:proofErr w:type="spellStart"/>
      <w:r>
        <w:t>Biochim</w:t>
      </w:r>
      <w:proofErr w:type="spellEnd"/>
      <w:r>
        <w:t xml:space="preserve"> </w:t>
      </w:r>
      <w:proofErr w:type="spellStart"/>
      <w:r>
        <w:t>Biophys</w:t>
      </w:r>
      <w:proofErr w:type="spellEnd"/>
      <w:r>
        <w:t xml:space="preserve"> Acta Gene </w:t>
      </w:r>
      <w:proofErr w:type="spellStart"/>
      <w:r>
        <w:t>Regul</w:t>
      </w:r>
      <w:proofErr w:type="spellEnd"/>
      <w:r>
        <w:t xml:space="preserve"> Mech. 2017 Apr;1860(4):438-449. PubMed Central PMCID: PMC5385709. </w:t>
      </w:r>
    </w:p>
    <w:p w14:paraId="14E72E7E" w14:textId="77777777" w:rsidR="0078547C" w:rsidRDefault="00000000">
      <w:pPr>
        <w:pStyle w:val="citationUlliParagraph"/>
        <w:numPr>
          <w:ilvl w:val="0"/>
          <w:numId w:val="1"/>
        </w:numPr>
      </w:pPr>
      <w:r>
        <w:t xml:space="preserve">Gordon JAR, Stein JL, </w:t>
      </w:r>
      <w:proofErr w:type="spellStart"/>
      <w:r>
        <w:t>Westendorf</w:t>
      </w:r>
      <w:proofErr w:type="spellEnd"/>
      <w:r>
        <w:t xml:space="preserve"> JJ, van </w:t>
      </w:r>
      <w:proofErr w:type="spellStart"/>
      <w:r>
        <w:t>Wijnen</w:t>
      </w:r>
      <w:proofErr w:type="spellEnd"/>
      <w:r>
        <w:t xml:space="preserve"> AJ. Chromatin modifiers and histone modifications in bone formation, regeneration, and therapeutic intervention for bone-related disease. Bone. 2015 Dec;81:739-745. PubMed Central PMCID: PMC4591092. </w:t>
      </w:r>
    </w:p>
    <w:p w14:paraId="03EF5ECF" w14:textId="77777777" w:rsidR="0078547C" w:rsidRDefault="00000000">
      <w:pPr>
        <w:pStyle w:val="citationUlliParagraph"/>
        <w:numPr>
          <w:ilvl w:val="0"/>
          <w:numId w:val="1"/>
        </w:numPr>
      </w:pPr>
      <w:r>
        <w:t xml:space="preserve">Gordon JA, </w:t>
      </w:r>
      <w:proofErr w:type="spellStart"/>
      <w:r>
        <w:t>Montecino</w:t>
      </w:r>
      <w:proofErr w:type="spellEnd"/>
      <w:r>
        <w:t xml:space="preserve"> MA, </w:t>
      </w:r>
      <w:proofErr w:type="spellStart"/>
      <w:r>
        <w:t>Aqeilan</w:t>
      </w:r>
      <w:proofErr w:type="spellEnd"/>
      <w:r>
        <w:t xml:space="preserve"> RI, Stein JL, Stein GS, Lian JB. Epigenetic pathways regulating bone homeostasis: potential targeting for intervention of skeletal disorders. Curr </w:t>
      </w:r>
      <w:proofErr w:type="spellStart"/>
      <w:r>
        <w:t>Osteoporos</w:t>
      </w:r>
      <w:proofErr w:type="spellEnd"/>
      <w:r>
        <w:t xml:space="preserve"> Rep. 2014 Dec;12(4):496-506. PubMed Central PMCID: PMC4216616. </w:t>
      </w:r>
    </w:p>
    <w:p w14:paraId="1114E62C" w14:textId="77777777" w:rsidR="0078547C" w:rsidRDefault="00000000">
      <w:pPr>
        <w:pStyle w:val="citationUlliParagraph"/>
        <w:numPr>
          <w:ilvl w:val="0"/>
          <w:numId w:val="1"/>
        </w:numPr>
        <w:spacing w:after="220"/>
      </w:pPr>
      <w:r>
        <w:t xml:space="preserve">Tai PW, Wu H, Gordon JA, Whitfield TW, </w:t>
      </w:r>
      <w:proofErr w:type="spellStart"/>
      <w:r>
        <w:t>Barutcu</w:t>
      </w:r>
      <w:proofErr w:type="spellEnd"/>
      <w:r>
        <w:t xml:space="preserve"> AR, van </w:t>
      </w:r>
      <w:proofErr w:type="spellStart"/>
      <w:r>
        <w:t>Wijnen</w:t>
      </w:r>
      <w:proofErr w:type="spellEnd"/>
      <w:r>
        <w:t xml:space="preserve"> AJ, Lian JB, Stein GS, Stein JL. Epigenetic landscape during </w:t>
      </w:r>
      <w:proofErr w:type="spellStart"/>
      <w:r>
        <w:t>osteoblastogenesis</w:t>
      </w:r>
      <w:proofErr w:type="spellEnd"/>
      <w:r>
        <w:t xml:space="preserve"> defines a differentiation-dependent Runx2 promoter region. Gene. 2014 Oct 15;550(1):1-9. PubMed Central PMCID: PMC4149845. </w:t>
      </w:r>
    </w:p>
    <w:p w14:paraId="275C1274" w14:textId="50C27726" w:rsidR="00BE7803" w:rsidRPr="00BE7803" w:rsidRDefault="00BE7803" w:rsidP="00BE7803">
      <w:pPr>
        <w:pStyle w:val="citationUlliParagraph"/>
        <w:spacing w:after="220"/>
        <w:rPr>
          <w:b/>
          <w:bCs/>
        </w:rPr>
      </w:pPr>
      <w:r w:rsidRPr="00BE7803">
        <w:rPr>
          <w:b/>
          <w:bCs/>
        </w:rPr>
        <w:t>Ongoing</w:t>
      </w:r>
      <w:r w:rsidRPr="00BE7803">
        <w:rPr>
          <w:b/>
          <w:bCs/>
        </w:rPr>
        <w:t xml:space="preserve"> and Previously Funded</w:t>
      </w:r>
      <w:r w:rsidRPr="00BE7803">
        <w:rPr>
          <w:b/>
          <w:bCs/>
        </w:rPr>
        <w:t xml:space="preserve"> Projects to Highlight</w:t>
      </w:r>
    </w:p>
    <w:p w14:paraId="123CAB02" w14:textId="77777777" w:rsidR="00BE7803" w:rsidRDefault="00BE7803" w:rsidP="00BE7803">
      <w:pPr>
        <w:pStyle w:val="citationUlliParagraph"/>
        <w:spacing w:after="220"/>
      </w:pPr>
      <w:r>
        <w:t>R01-DE029311-01</w:t>
      </w:r>
      <w:r>
        <w:tab/>
        <w:t>Lian JB, Stein JS, Stein GS (Multi-PI)</w:t>
      </w:r>
      <w:r>
        <w:tab/>
        <w:t xml:space="preserve">                                 01/06/2020-01/05/2025 </w:t>
      </w:r>
    </w:p>
    <w:p w14:paraId="68BD65EE" w14:textId="77777777" w:rsidR="00BE7803" w:rsidRDefault="00BE7803" w:rsidP="00BE7803">
      <w:pPr>
        <w:pStyle w:val="citationUlliParagraph"/>
        <w:spacing w:after="0"/>
      </w:pPr>
      <w:r>
        <w:t>NIH/NIDCR Chromatin Organization Regulates Osteogenesi</w:t>
      </w:r>
      <w:r>
        <w:t>s</w:t>
      </w:r>
    </w:p>
    <w:p w14:paraId="6A4B10C6" w14:textId="4976AC50" w:rsidR="00BE7803" w:rsidRDefault="00BE7803" w:rsidP="00BE7803">
      <w:pPr>
        <w:pStyle w:val="citationUlliParagraph"/>
        <w:spacing w:after="0"/>
      </w:pPr>
      <w:r>
        <w:t>Role: Co-Investigator</w:t>
      </w:r>
    </w:p>
    <w:p w14:paraId="475EBDCC" w14:textId="77777777" w:rsidR="00BE7803" w:rsidRDefault="00BE7803" w:rsidP="00BE7803">
      <w:pPr>
        <w:pStyle w:val="citationUlliParagraph"/>
        <w:spacing w:after="0"/>
      </w:pPr>
    </w:p>
    <w:p w14:paraId="5CCF7C21" w14:textId="77777777" w:rsidR="00BE7803" w:rsidRDefault="00BE7803" w:rsidP="00BE7803">
      <w:pPr>
        <w:pStyle w:val="citationUlliParagraph"/>
        <w:spacing w:after="220"/>
      </w:pPr>
      <w:r>
        <w:t>1U01 CA196383-01 Stein JL(PI)</w:t>
      </w:r>
      <w:r>
        <w:tab/>
        <w:t xml:space="preserve">                      </w:t>
      </w:r>
      <w:r>
        <w:tab/>
      </w:r>
      <w:r>
        <w:tab/>
      </w:r>
      <w:r>
        <w:tab/>
      </w:r>
      <w:r>
        <w:tab/>
      </w:r>
      <w:r>
        <w:tab/>
        <w:t xml:space="preserve">         09/09/2015-31/08/2020</w:t>
      </w:r>
    </w:p>
    <w:p w14:paraId="6E729EE5" w14:textId="77777777" w:rsidR="00BE7803" w:rsidRDefault="00BE7803" w:rsidP="00BE7803">
      <w:pPr>
        <w:pStyle w:val="citationUlliParagraph"/>
        <w:spacing w:after="0"/>
      </w:pPr>
      <w:r>
        <w:t>NIH/NCI</w:t>
      </w:r>
      <w:r>
        <w:t xml:space="preserve">: </w:t>
      </w:r>
      <w:r>
        <w:t>Vermont Breast Cancer Molecular Characterization Laboratory</w:t>
      </w:r>
    </w:p>
    <w:p w14:paraId="25EA5475" w14:textId="7CC6B74A" w:rsidR="00BE7803" w:rsidRDefault="00BE7803" w:rsidP="00BE7803">
      <w:pPr>
        <w:pStyle w:val="citationUlliParagraph"/>
        <w:spacing w:after="0"/>
      </w:pPr>
      <w:r>
        <w:t>Role: Key Personnel</w:t>
      </w:r>
    </w:p>
    <w:p w14:paraId="3234D524" w14:textId="77777777" w:rsidR="00BE7803" w:rsidRDefault="00BE7803" w:rsidP="00BE7803">
      <w:pPr>
        <w:pStyle w:val="citationUlliParagraph"/>
        <w:spacing w:after="0"/>
      </w:pPr>
    </w:p>
    <w:p w14:paraId="29B6D87C" w14:textId="77777777" w:rsidR="00BE7803" w:rsidRDefault="00BE7803" w:rsidP="00BE7803">
      <w:pPr>
        <w:pStyle w:val="citationUlliParagraph"/>
        <w:spacing w:after="220"/>
      </w:pPr>
      <w:r>
        <w:t>R37 DE012528 Lian JB (PI)</w:t>
      </w:r>
      <w:r>
        <w:tab/>
      </w:r>
      <w:r>
        <w:tab/>
      </w:r>
      <w:r>
        <w:tab/>
      </w:r>
      <w:r>
        <w:tab/>
      </w:r>
      <w:r>
        <w:tab/>
      </w:r>
      <w:r>
        <w:tab/>
        <w:t xml:space="preserve"> </w:t>
      </w:r>
      <w:r>
        <w:tab/>
      </w:r>
      <w:r>
        <w:tab/>
        <w:t xml:space="preserve">             04/01/89-02/28/2018</w:t>
      </w:r>
    </w:p>
    <w:p w14:paraId="0143DA33" w14:textId="550428DA" w:rsidR="00BE7803" w:rsidRDefault="00BE7803" w:rsidP="00BE7803">
      <w:pPr>
        <w:pStyle w:val="citationUlliParagraph"/>
        <w:spacing w:after="0"/>
      </w:pPr>
      <w:r>
        <w:t>NIH/NIDCR</w:t>
      </w:r>
      <w:r>
        <w:t xml:space="preserve"> </w:t>
      </w:r>
      <w:r>
        <w:t>Synthesis of Osteocalcin in Bone</w:t>
      </w:r>
    </w:p>
    <w:p w14:paraId="62C18648" w14:textId="77777777" w:rsidR="00BE7803" w:rsidRDefault="00BE7803" w:rsidP="00BE7803">
      <w:pPr>
        <w:pStyle w:val="citationUlliParagraph"/>
        <w:spacing w:after="0"/>
      </w:pPr>
      <w:r>
        <w:t>Role: Key Personnel</w:t>
      </w:r>
    </w:p>
    <w:p w14:paraId="459BF2F1" w14:textId="77777777" w:rsidR="00BE7803" w:rsidRDefault="00BE7803" w:rsidP="00BE7803">
      <w:pPr>
        <w:pStyle w:val="citationUlliParagraph"/>
        <w:spacing w:after="0"/>
      </w:pPr>
    </w:p>
    <w:p w14:paraId="18694109" w14:textId="77777777" w:rsidR="00BE7803" w:rsidRDefault="00BE7803" w:rsidP="00BE7803">
      <w:pPr>
        <w:pStyle w:val="citationUlliParagraph"/>
        <w:spacing w:after="220"/>
      </w:pPr>
      <w:r>
        <w:t>American Cancer Society Institutional Research Grant Gordon JAR (PI)</w:t>
      </w:r>
      <w:r>
        <w:tab/>
      </w:r>
      <w:r>
        <w:tab/>
      </w:r>
      <w:r>
        <w:tab/>
        <w:t xml:space="preserve">     7/1/2015-7/1/2017</w:t>
      </w:r>
    </w:p>
    <w:p w14:paraId="4E59A83F" w14:textId="3604D404" w:rsidR="00BE7803" w:rsidRDefault="00BE7803" w:rsidP="00BE7803">
      <w:pPr>
        <w:pStyle w:val="citationUlliParagraph"/>
        <w:spacing w:after="0"/>
      </w:pPr>
      <w:r>
        <w:t xml:space="preserve">Inhibition of Patient-Specific Marrow Stromal Cells That Mediate Tumor Growth and Metastatic Bone Disease. </w:t>
      </w:r>
    </w:p>
    <w:p w14:paraId="34F7BBDE" w14:textId="60AFABAB" w:rsidR="00BE7803" w:rsidRDefault="00BE7803" w:rsidP="00BE7803">
      <w:pPr>
        <w:pStyle w:val="citationUlliParagraph"/>
        <w:spacing w:after="0"/>
      </w:pPr>
      <w:r>
        <w:t>Role:</w:t>
      </w:r>
      <w:r>
        <w:tab/>
        <w:t>Principal Investigator</w:t>
      </w:r>
    </w:p>
    <w:p w14:paraId="69CED796" w14:textId="77777777" w:rsidR="0078547C" w:rsidRDefault="00000000">
      <w:pPr>
        <w:pStyle w:val="Heading3"/>
      </w:pPr>
      <w:r>
        <w:rPr>
          <w:rFonts w:ascii="Arial" w:eastAsia="Arial" w:hAnsi="Arial" w:cs="Arial"/>
          <w:sz w:val="26"/>
          <w:szCs w:val="26"/>
        </w:rPr>
        <w:t>B. Positions, Scientific Appointments and Honors</w:t>
      </w:r>
    </w:p>
    <w:p w14:paraId="3F3178C6" w14:textId="77777777" w:rsidR="0078547C" w:rsidRDefault="00000000">
      <w:pPr>
        <w:pStyle w:val="h3underline"/>
      </w:pPr>
      <w:r>
        <w:rPr>
          <w:rFonts w:ascii="Arial" w:eastAsia="Arial" w:hAnsi="Arial" w:cs="Arial"/>
          <w:sz w:val="26"/>
          <w:szCs w:val="26"/>
        </w:rPr>
        <w:t>Positions and Scientific Appointments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78547C" w14:paraId="0FBD49D0" w14:textId="77777777">
        <w:tc>
          <w:tcPr>
            <w:tcW w:w="1530" w:type="dxa"/>
            <w:tcMar>
              <w:top w:w="15" w:type="dxa"/>
              <w:left w:w="15" w:type="dxa"/>
              <w:bottom w:w="15" w:type="dxa"/>
              <w:right w:w="15" w:type="dxa"/>
            </w:tcMar>
          </w:tcPr>
          <w:p w14:paraId="67F31141" w14:textId="77777777" w:rsidR="0078547C" w:rsidRDefault="00000000">
            <w:r>
              <w:t xml:space="preserve">2012 - </w:t>
            </w:r>
          </w:p>
        </w:tc>
        <w:tc>
          <w:tcPr>
            <w:tcW w:w="0" w:type="auto"/>
            <w:tcMar>
              <w:top w:w="15" w:type="dxa"/>
              <w:left w:w="15" w:type="dxa"/>
              <w:bottom w:w="15" w:type="dxa"/>
              <w:right w:w="15" w:type="dxa"/>
            </w:tcMar>
          </w:tcPr>
          <w:p w14:paraId="72E9D5D5" w14:textId="77777777" w:rsidR="0078547C" w:rsidRDefault="00000000">
            <w:r>
              <w:t>Assistant Professor, University of Vermont, Burlington, VT</w:t>
            </w:r>
          </w:p>
        </w:tc>
      </w:tr>
      <w:tr w:rsidR="0078547C" w14:paraId="297B8B02" w14:textId="77777777">
        <w:tc>
          <w:tcPr>
            <w:tcW w:w="1530" w:type="dxa"/>
            <w:tcMar>
              <w:top w:w="15" w:type="dxa"/>
              <w:left w:w="15" w:type="dxa"/>
              <w:bottom w:w="15" w:type="dxa"/>
              <w:right w:w="15" w:type="dxa"/>
            </w:tcMar>
          </w:tcPr>
          <w:p w14:paraId="6BC56695" w14:textId="77777777" w:rsidR="0078547C" w:rsidRDefault="00000000">
            <w:r>
              <w:t>2011 - 2012</w:t>
            </w:r>
          </w:p>
        </w:tc>
        <w:tc>
          <w:tcPr>
            <w:tcW w:w="0" w:type="auto"/>
            <w:tcMar>
              <w:top w:w="15" w:type="dxa"/>
              <w:left w:w="15" w:type="dxa"/>
              <w:bottom w:w="15" w:type="dxa"/>
              <w:right w:w="15" w:type="dxa"/>
            </w:tcMar>
          </w:tcPr>
          <w:p w14:paraId="0EFD60E9" w14:textId="77777777" w:rsidR="0078547C" w:rsidRDefault="00000000">
            <w:r>
              <w:t>Research Assistant Professor, University of Massachusetts Medical School, Worcester, MA</w:t>
            </w:r>
          </w:p>
        </w:tc>
      </w:tr>
      <w:tr w:rsidR="0078547C" w14:paraId="3EF1CD15" w14:textId="77777777">
        <w:tc>
          <w:tcPr>
            <w:tcW w:w="1530" w:type="dxa"/>
            <w:tcMar>
              <w:top w:w="15" w:type="dxa"/>
              <w:left w:w="15" w:type="dxa"/>
              <w:bottom w:w="15" w:type="dxa"/>
              <w:right w:w="15" w:type="dxa"/>
            </w:tcMar>
          </w:tcPr>
          <w:p w14:paraId="0390A6B2" w14:textId="77777777" w:rsidR="0078547C" w:rsidRDefault="00000000">
            <w:r>
              <w:t>2007 - 2011</w:t>
            </w:r>
          </w:p>
        </w:tc>
        <w:tc>
          <w:tcPr>
            <w:tcW w:w="0" w:type="auto"/>
            <w:tcMar>
              <w:top w:w="15" w:type="dxa"/>
              <w:left w:w="15" w:type="dxa"/>
              <w:bottom w:w="15" w:type="dxa"/>
              <w:right w:w="15" w:type="dxa"/>
            </w:tcMar>
          </w:tcPr>
          <w:p w14:paraId="5F579B68" w14:textId="77777777" w:rsidR="0078547C" w:rsidRDefault="00000000">
            <w:r>
              <w:t>Postdoctoral Fellow, University of Massachusetts Medical School, Worcester, MA</w:t>
            </w:r>
          </w:p>
        </w:tc>
      </w:tr>
    </w:tbl>
    <w:p w14:paraId="5D557279" w14:textId="77777777" w:rsidR="0078547C" w:rsidRDefault="00000000">
      <w:pPr>
        <w:pStyle w:val="h3underline"/>
      </w:pPr>
      <w:r>
        <w:rPr>
          <w:rFonts w:ascii="Arial" w:eastAsia="Arial" w:hAnsi="Arial" w:cs="Arial"/>
          <w:sz w:val="26"/>
          <w:szCs w:val="26"/>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78547C" w14:paraId="520545B9" w14:textId="77777777">
        <w:tc>
          <w:tcPr>
            <w:tcW w:w="1530" w:type="dxa"/>
            <w:tcMar>
              <w:top w:w="15" w:type="dxa"/>
              <w:left w:w="15" w:type="dxa"/>
              <w:bottom w:w="15" w:type="dxa"/>
              <w:right w:w="15" w:type="dxa"/>
            </w:tcMar>
          </w:tcPr>
          <w:p w14:paraId="32156F9D" w14:textId="77777777" w:rsidR="0078547C" w:rsidRDefault="00000000">
            <w:r>
              <w:t>2001 - 2005</w:t>
            </w:r>
          </w:p>
        </w:tc>
        <w:tc>
          <w:tcPr>
            <w:tcW w:w="0" w:type="auto"/>
            <w:tcMar>
              <w:top w:w="15" w:type="dxa"/>
              <w:left w:w="15" w:type="dxa"/>
              <w:bottom w:w="15" w:type="dxa"/>
              <w:right w:w="15" w:type="dxa"/>
            </w:tcMar>
          </w:tcPr>
          <w:p w14:paraId="7B67A3D6" w14:textId="77777777" w:rsidR="0078547C" w:rsidRDefault="00000000">
            <w:r>
              <w:t>Ontario Graduate Scholarship in Science and Technology (OGSST), OGSST</w:t>
            </w:r>
          </w:p>
        </w:tc>
      </w:tr>
      <w:tr w:rsidR="0078547C" w14:paraId="7AE93F9B" w14:textId="77777777">
        <w:tc>
          <w:tcPr>
            <w:tcW w:w="1530" w:type="dxa"/>
            <w:tcMar>
              <w:top w:w="15" w:type="dxa"/>
              <w:left w:w="15" w:type="dxa"/>
              <w:bottom w:w="15" w:type="dxa"/>
              <w:right w:w="15" w:type="dxa"/>
            </w:tcMar>
          </w:tcPr>
          <w:p w14:paraId="2F50A326" w14:textId="77777777" w:rsidR="0078547C" w:rsidRDefault="00000000">
            <w:r>
              <w:t>2010</w:t>
            </w:r>
          </w:p>
        </w:tc>
        <w:tc>
          <w:tcPr>
            <w:tcW w:w="0" w:type="auto"/>
            <w:tcMar>
              <w:top w:w="15" w:type="dxa"/>
              <w:left w:w="15" w:type="dxa"/>
              <w:bottom w:w="15" w:type="dxa"/>
              <w:right w:w="15" w:type="dxa"/>
            </w:tcMar>
          </w:tcPr>
          <w:p w14:paraId="438FB395" w14:textId="77777777" w:rsidR="0078547C" w:rsidRDefault="00000000">
            <w:r>
              <w:t>Young Investigator Award, International Conference of Chemistry and Biology of Mineralized Tissues</w:t>
            </w:r>
          </w:p>
        </w:tc>
      </w:tr>
    </w:tbl>
    <w:p w14:paraId="613A0D66" w14:textId="77777777" w:rsidR="0078547C" w:rsidRDefault="00000000">
      <w:pPr>
        <w:pStyle w:val="Heading3"/>
      </w:pPr>
      <w:r>
        <w:rPr>
          <w:rFonts w:ascii="Arial" w:eastAsia="Arial" w:hAnsi="Arial" w:cs="Arial"/>
          <w:sz w:val="26"/>
          <w:szCs w:val="26"/>
        </w:rPr>
        <w:t>C. Contribution to Science</w:t>
      </w:r>
    </w:p>
    <w:p w14:paraId="0B20F812" w14:textId="77777777" w:rsidR="0078547C" w:rsidRDefault="00000000">
      <w:pPr>
        <w:numPr>
          <w:ilvl w:val="0"/>
          <w:numId w:val="2"/>
        </w:numPr>
        <w:spacing w:before="220" w:after="220"/>
        <w:ind w:left="375"/>
      </w:pPr>
      <w:r>
        <w:t>My research career has been centered on examining bone formation from a variety of scientific perspectives including biochemistry, genomics, cell biology, developmental biology and molecular biology. Several studies I have co-authored have defined important roles for ECM-mediated signaling in the regulation of bone formation as well as identified critical transcriptional regulators involved in osteoblastic differentiation.</w:t>
      </w:r>
    </w:p>
    <w:p w14:paraId="0AD9813E" w14:textId="77777777" w:rsidR="0078547C" w:rsidRDefault="00000000">
      <w:pPr>
        <w:pStyle w:val="citationUlliParagraph"/>
        <w:numPr>
          <w:ilvl w:val="1"/>
          <w:numId w:val="2"/>
        </w:numPr>
        <w:ind w:left="750"/>
      </w:pPr>
      <w:r>
        <w:t xml:space="preserve">Freitas GP, Lopes HB, Souza ATP, Gomes MPO, </w:t>
      </w:r>
      <w:proofErr w:type="spellStart"/>
      <w:r>
        <w:t>Quiles</w:t>
      </w:r>
      <w:proofErr w:type="spellEnd"/>
      <w:r>
        <w:t xml:space="preserve"> GK, </w:t>
      </w:r>
      <w:r w:rsidRPr="00BE7803">
        <w:rPr>
          <w:b/>
          <w:bCs/>
        </w:rPr>
        <w:t>Gordon J,</w:t>
      </w:r>
      <w:r>
        <w:t xml:space="preserve"> Tye C, Stein JL, Stein GS, Lian JB, </w:t>
      </w:r>
      <w:proofErr w:type="spellStart"/>
      <w:r>
        <w:t>Beloti</w:t>
      </w:r>
      <w:proofErr w:type="spellEnd"/>
      <w:r>
        <w:t xml:space="preserve"> MM, Rosa AL. Mesenchymal stem cells overexpressing BMP-9 by CRISPR-Cas9 present high in vitro osteogenic potential and enhance in vivo bone formation. Gene </w:t>
      </w:r>
      <w:proofErr w:type="spellStart"/>
      <w:r>
        <w:t>Ther</w:t>
      </w:r>
      <w:proofErr w:type="spellEnd"/>
      <w:r>
        <w:t xml:space="preserve">. 2021 Dec;28(12):748-759. PubMed Central PMCID: PMC8423866. </w:t>
      </w:r>
    </w:p>
    <w:p w14:paraId="553FCB90" w14:textId="77777777" w:rsidR="0078547C" w:rsidRDefault="00000000">
      <w:pPr>
        <w:pStyle w:val="citationUlliParagraph"/>
        <w:numPr>
          <w:ilvl w:val="1"/>
          <w:numId w:val="2"/>
        </w:numPr>
        <w:ind w:left="750"/>
      </w:pPr>
      <w:r>
        <w:t xml:space="preserve">Wu H, Whitfield TW, </w:t>
      </w:r>
      <w:r w:rsidRPr="00BE7803">
        <w:rPr>
          <w:b/>
          <w:bCs/>
        </w:rPr>
        <w:t>Gordon JA</w:t>
      </w:r>
      <w:r>
        <w:t xml:space="preserve">, Dobson JR, Tai PW, van </w:t>
      </w:r>
      <w:proofErr w:type="spellStart"/>
      <w:r>
        <w:t>Wijnen</w:t>
      </w:r>
      <w:proofErr w:type="spellEnd"/>
      <w:r>
        <w:t xml:space="preserve"> AJ, Stein JL, Stein GS, Lian JB. Genomic occupancy of Runx2 with global expression profiling identifies a novel dimension to control of </w:t>
      </w:r>
      <w:proofErr w:type="spellStart"/>
      <w:r>
        <w:t>osteoblastogenesis</w:t>
      </w:r>
      <w:proofErr w:type="spellEnd"/>
      <w:r>
        <w:t xml:space="preserve">. Genome Biol. 2014 Mar 21;15(3):R52. PubMed Central PMCID: PMC4056528. </w:t>
      </w:r>
    </w:p>
    <w:p w14:paraId="0B713B51" w14:textId="77777777" w:rsidR="0078547C" w:rsidRDefault="00000000">
      <w:pPr>
        <w:pStyle w:val="citationUlliParagraph"/>
        <w:numPr>
          <w:ilvl w:val="1"/>
          <w:numId w:val="2"/>
        </w:numPr>
        <w:ind w:left="750"/>
      </w:pPr>
      <w:r w:rsidRPr="00BE7803">
        <w:rPr>
          <w:b/>
          <w:bCs/>
        </w:rPr>
        <w:t>Gordon JA</w:t>
      </w:r>
      <w:r>
        <w:t xml:space="preserve">, Hassan MQ, Saini S, </w:t>
      </w:r>
      <w:proofErr w:type="spellStart"/>
      <w:r>
        <w:t>Montecino</w:t>
      </w:r>
      <w:proofErr w:type="spellEnd"/>
      <w:r>
        <w:t xml:space="preserve"> M, van </w:t>
      </w:r>
      <w:proofErr w:type="spellStart"/>
      <w:r>
        <w:t>Wijnen</w:t>
      </w:r>
      <w:proofErr w:type="spellEnd"/>
      <w:r>
        <w:t xml:space="preserve"> AJ, Stein GS, Stein JL, Lian JB. Pbx1 represses </w:t>
      </w:r>
      <w:proofErr w:type="spellStart"/>
      <w:r>
        <w:t>osteoblastogenesis</w:t>
      </w:r>
      <w:proofErr w:type="spellEnd"/>
      <w:r>
        <w:t xml:space="preserve"> by blocking Hoxa10-mediated recruitment of chromatin remodeling factors. Mol Cell Biol. 2010 Jul;30(14):3531-41. PubMed Central PMCID: PMC2897555. </w:t>
      </w:r>
    </w:p>
    <w:p w14:paraId="11FD4A66" w14:textId="77777777" w:rsidR="0078547C" w:rsidRDefault="00000000">
      <w:pPr>
        <w:pStyle w:val="citationUlliParagraph"/>
        <w:numPr>
          <w:ilvl w:val="1"/>
          <w:numId w:val="2"/>
        </w:numPr>
        <w:ind w:left="750"/>
      </w:pPr>
      <w:r w:rsidRPr="00BE7803">
        <w:rPr>
          <w:b/>
          <w:bCs/>
        </w:rPr>
        <w:t>Gordon JA</w:t>
      </w:r>
      <w:r>
        <w:t xml:space="preserve">, Tye CE, Sampaio AV, Underhill TM, Hunter GK, Goldberg HA. Bone sialoprotein expression enhances osteoblast differentiation and matrix mineralization in vitro. Bone. 2007 Sep;41(3):462-73. PubMed PMID: 17572166. </w:t>
      </w:r>
    </w:p>
    <w:p w14:paraId="3D1BF8D5" w14:textId="77777777" w:rsidR="0078547C" w:rsidRDefault="00000000">
      <w:pPr>
        <w:numPr>
          <w:ilvl w:val="0"/>
          <w:numId w:val="2"/>
        </w:numPr>
        <w:spacing w:before="220" w:after="220"/>
        <w:ind w:left="375"/>
      </w:pPr>
      <w:r>
        <w:t>In addition, to my contributions to canonical transcriptional and signaling pathways regulating bone, I have defined mechanisms and features of epigenetic programming that are critical to lineage commitment and osteogenesis. By defining these pathways we have identified the fundamental organization that allow lineage commitment to occur from multipotent cells and helped define chromatin changes between mesenchymal lineages.</w:t>
      </w:r>
    </w:p>
    <w:p w14:paraId="7525CBAF" w14:textId="77777777" w:rsidR="0078547C" w:rsidRDefault="00000000">
      <w:pPr>
        <w:pStyle w:val="citationUlliParagraph"/>
        <w:numPr>
          <w:ilvl w:val="1"/>
          <w:numId w:val="3"/>
        </w:numPr>
        <w:ind w:left="750"/>
      </w:pPr>
      <w:r>
        <w:t xml:space="preserve">Wu H, </w:t>
      </w:r>
      <w:r w:rsidRPr="00BE7803">
        <w:rPr>
          <w:b/>
          <w:bCs/>
        </w:rPr>
        <w:t>Gordon JA</w:t>
      </w:r>
      <w:r>
        <w:t xml:space="preserve">, Whitfield TW, Tai PW, van </w:t>
      </w:r>
      <w:proofErr w:type="spellStart"/>
      <w:r>
        <w:t>Wijnen</w:t>
      </w:r>
      <w:proofErr w:type="spellEnd"/>
      <w:r>
        <w:t xml:space="preserve"> AJ, Stein JL, Stein GS, Lian JB. Chromatin dynamics regulate mesenchymal stem cell lineage specification and differentiation to osteogenesis. </w:t>
      </w:r>
      <w:proofErr w:type="spellStart"/>
      <w:r>
        <w:t>Biochim</w:t>
      </w:r>
      <w:proofErr w:type="spellEnd"/>
      <w:r>
        <w:t xml:space="preserve"> </w:t>
      </w:r>
      <w:proofErr w:type="spellStart"/>
      <w:r>
        <w:t>Biophys</w:t>
      </w:r>
      <w:proofErr w:type="spellEnd"/>
      <w:r>
        <w:t xml:space="preserve"> Acta Gene </w:t>
      </w:r>
      <w:proofErr w:type="spellStart"/>
      <w:r>
        <w:t>Regul</w:t>
      </w:r>
      <w:proofErr w:type="spellEnd"/>
      <w:r>
        <w:t xml:space="preserve"> Mech. 2017 Apr;1860(4):438-449. PubMed Central PMCID: PMC5385709. </w:t>
      </w:r>
    </w:p>
    <w:p w14:paraId="4603DD47" w14:textId="77777777" w:rsidR="0078547C" w:rsidRDefault="00000000">
      <w:pPr>
        <w:pStyle w:val="citationUlliParagraph"/>
        <w:numPr>
          <w:ilvl w:val="1"/>
          <w:numId w:val="3"/>
        </w:numPr>
        <w:ind w:left="750"/>
      </w:pPr>
      <w:r w:rsidRPr="00BE7803">
        <w:rPr>
          <w:b/>
          <w:bCs/>
        </w:rPr>
        <w:lastRenderedPageBreak/>
        <w:t>Gordon JA</w:t>
      </w:r>
      <w:r>
        <w:t xml:space="preserve">, </w:t>
      </w:r>
      <w:proofErr w:type="spellStart"/>
      <w:r>
        <w:t>Montecino</w:t>
      </w:r>
      <w:proofErr w:type="spellEnd"/>
      <w:r>
        <w:t xml:space="preserve"> MA, </w:t>
      </w:r>
      <w:proofErr w:type="spellStart"/>
      <w:r>
        <w:t>Aqeilan</w:t>
      </w:r>
      <w:proofErr w:type="spellEnd"/>
      <w:r>
        <w:t xml:space="preserve"> RI, Stein JL, Stein GS, Lian JB. Epigenetic pathways regulating bone homeostasis: potential targeting for intervention of skeletal disorders. Curr </w:t>
      </w:r>
      <w:proofErr w:type="spellStart"/>
      <w:r>
        <w:t>Osteoporos</w:t>
      </w:r>
      <w:proofErr w:type="spellEnd"/>
      <w:r>
        <w:t xml:space="preserve"> Rep. 2014 Dec;12(4):496-506. PubMed Central PMCID: PMC4216616. </w:t>
      </w:r>
    </w:p>
    <w:p w14:paraId="1D4CCB6E" w14:textId="77777777" w:rsidR="0078547C" w:rsidRDefault="00000000">
      <w:pPr>
        <w:pStyle w:val="citationUlliParagraph"/>
        <w:numPr>
          <w:ilvl w:val="1"/>
          <w:numId w:val="3"/>
        </w:numPr>
        <w:ind w:left="750"/>
      </w:pPr>
      <w:r>
        <w:t xml:space="preserve">Tai PW, Wu H, </w:t>
      </w:r>
      <w:r w:rsidRPr="00BE7803">
        <w:rPr>
          <w:b/>
          <w:bCs/>
        </w:rPr>
        <w:t>Gordon JA</w:t>
      </w:r>
      <w:r>
        <w:t xml:space="preserve">, Whitfield TW, </w:t>
      </w:r>
      <w:proofErr w:type="spellStart"/>
      <w:r>
        <w:t>Barutcu</w:t>
      </w:r>
      <w:proofErr w:type="spellEnd"/>
      <w:r>
        <w:t xml:space="preserve"> AR, van </w:t>
      </w:r>
      <w:proofErr w:type="spellStart"/>
      <w:r>
        <w:t>Wijnen</w:t>
      </w:r>
      <w:proofErr w:type="spellEnd"/>
      <w:r>
        <w:t xml:space="preserve"> AJ, Lian JB, Stein GS, Stein JL. Epigenetic landscape during </w:t>
      </w:r>
      <w:proofErr w:type="spellStart"/>
      <w:r>
        <w:t>osteoblastogenesis</w:t>
      </w:r>
      <w:proofErr w:type="spellEnd"/>
      <w:r>
        <w:t xml:space="preserve"> defines a differentiation-dependent Runx2 promoter region. Gene. 2014 Oct 15;550(1):1-9. PubMed Central PMCID: PMC4149845. </w:t>
      </w:r>
    </w:p>
    <w:p w14:paraId="2624FE40" w14:textId="77777777" w:rsidR="0078547C" w:rsidRDefault="00000000">
      <w:pPr>
        <w:pStyle w:val="citationUlliParagraph"/>
        <w:numPr>
          <w:ilvl w:val="1"/>
          <w:numId w:val="3"/>
        </w:numPr>
        <w:ind w:left="750"/>
      </w:pPr>
      <w:proofErr w:type="spellStart"/>
      <w:r>
        <w:t>Barutcu</w:t>
      </w:r>
      <w:proofErr w:type="spellEnd"/>
      <w:r>
        <w:t xml:space="preserve"> AR, Tai PW, Wu H, </w:t>
      </w:r>
      <w:r w:rsidRPr="00BE7803">
        <w:rPr>
          <w:b/>
          <w:bCs/>
        </w:rPr>
        <w:t>Gordon JA</w:t>
      </w:r>
      <w:r>
        <w:t xml:space="preserve">, Whitfield TW, Dobson JR, </w:t>
      </w:r>
      <w:proofErr w:type="spellStart"/>
      <w:r>
        <w:t>Imbalzano</w:t>
      </w:r>
      <w:proofErr w:type="spellEnd"/>
      <w:r>
        <w:t xml:space="preserve"> AN, Lian JB, van </w:t>
      </w:r>
      <w:proofErr w:type="spellStart"/>
      <w:r>
        <w:t>Wijnen</w:t>
      </w:r>
      <w:proofErr w:type="spellEnd"/>
      <w:r>
        <w:t xml:space="preserve"> AJ, Stein JL, Stein GS. The bone-specific Runx2-P1 promoter displays conserved three-dimensional chromatin structure with the syntenic Supt3h promoter. Nucleic Acids Res. 2014;42(16):10360-72. PubMed Central PMCID: PMC4176362. </w:t>
      </w:r>
    </w:p>
    <w:p w14:paraId="743A9512" w14:textId="77777777" w:rsidR="0078547C" w:rsidRDefault="00000000">
      <w:pPr>
        <w:numPr>
          <w:ilvl w:val="0"/>
          <w:numId w:val="2"/>
        </w:numPr>
        <w:spacing w:before="220" w:after="220"/>
        <w:ind w:left="375"/>
      </w:pPr>
      <w:r>
        <w:t>The post-transcriptional regulation of genes by RNA molecules is a novel epigenetic mechanism that modifies transcript level and DNA accessibility. My research has have contributed to the understanding of the role of noncoding RNA (miRNA and lncRNA) in the regulation of osteogenesis.</w:t>
      </w:r>
    </w:p>
    <w:p w14:paraId="0675B9BF" w14:textId="77777777" w:rsidR="0078547C" w:rsidRDefault="00000000">
      <w:pPr>
        <w:pStyle w:val="citationUlliParagraph"/>
        <w:numPr>
          <w:ilvl w:val="1"/>
          <w:numId w:val="4"/>
        </w:numPr>
        <w:ind w:left="750"/>
      </w:pPr>
      <w:r w:rsidRPr="00BE7803">
        <w:rPr>
          <w:b/>
          <w:bCs/>
        </w:rPr>
        <w:t>Gordon JAR,</w:t>
      </w:r>
      <w:r>
        <w:t xml:space="preserve"> Tye CE, Banerjee B, </w:t>
      </w:r>
      <w:proofErr w:type="spellStart"/>
      <w:r>
        <w:t>Ghule</w:t>
      </w:r>
      <w:proofErr w:type="spellEnd"/>
      <w:r>
        <w:t xml:space="preserve"> PN, van </w:t>
      </w:r>
      <w:proofErr w:type="spellStart"/>
      <w:r>
        <w:t>Wijnen</w:t>
      </w:r>
      <w:proofErr w:type="spellEnd"/>
      <w:r>
        <w:t xml:space="preserve"> AJ, Kabala FS, Page NA, Falcone MM, Stein JL, Stein GS, Lian JB. LINC01638 sustains human mesenchymal stem cell self-renewal and competency for osteogenic cell fate. Sci Rep. 2023 Nov 20;13(1):20314. PubMed Central PMCID: PMC10662126. </w:t>
      </w:r>
    </w:p>
    <w:p w14:paraId="6D637E92" w14:textId="77777777" w:rsidR="0078547C" w:rsidRDefault="00000000">
      <w:pPr>
        <w:pStyle w:val="citationUlliParagraph"/>
        <w:numPr>
          <w:ilvl w:val="1"/>
          <w:numId w:val="4"/>
        </w:numPr>
        <w:ind w:left="750"/>
      </w:pPr>
      <w:r>
        <w:t xml:space="preserve">Tye CE, </w:t>
      </w:r>
      <w:proofErr w:type="spellStart"/>
      <w:r>
        <w:t>Ghule</w:t>
      </w:r>
      <w:proofErr w:type="spellEnd"/>
      <w:r>
        <w:t xml:space="preserve"> PN, </w:t>
      </w:r>
      <w:r w:rsidRPr="00BE7803">
        <w:rPr>
          <w:b/>
          <w:bCs/>
        </w:rPr>
        <w:t>Gordon JAR</w:t>
      </w:r>
      <w:r>
        <w:t xml:space="preserve">, Kabala FS, Page NA, Falcone MM, Tracy KM, van </w:t>
      </w:r>
      <w:proofErr w:type="spellStart"/>
      <w:r>
        <w:t>Wijnen</w:t>
      </w:r>
      <w:proofErr w:type="spellEnd"/>
      <w:r>
        <w:t xml:space="preserve"> AJ, Stein JL, Lian JB, Stein GS. LncMIR181A1HG is a novel chromatin-bound epigenetic suppressor of early stage osteogenic lineage commitment. Sci Rep. 2022 May 11;12(1):7770. PubMed Central PMCID: PMC9095685. </w:t>
      </w:r>
    </w:p>
    <w:p w14:paraId="1CFB8AFF" w14:textId="77777777" w:rsidR="0078547C" w:rsidRDefault="00000000">
      <w:pPr>
        <w:pStyle w:val="citationUlliParagraph"/>
        <w:numPr>
          <w:ilvl w:val="1"/>
          <w:numId w:val="4"/>
        </w:numPr>
        <w:ind w:left="750"/>
      </w:pPr>
      <w:r>
        <w:t xml:space="preserve">Hassan MQ, Maeda Y, </w:t>
      </w:r>
      <w:proofErr w:type="spellStart"/>
      <w:r>
        <w:t>Taipaleenmaki</w:t>
      </w:r>
      <w:proofErr w:type="spellEnd"/>
      <w:r>
        <w:t xml:space="preserve"> H, Zhang W, </w:t>
      </w:r>
      <w:proofErr w:type="spellStart"/>
      <w:r>
        <w:t>Jafferji</w:t>
      </w:r>
      <w:proofErr w:type="spellEnd"/>
      <w:r>
        <w:t xml:space="preserve"> M, </w:t>
      </w:r>
      <w:r w:rsidRPr="00BE7803">
        <w:rPr>
          <w:b/>
          <w:bCs/>
        </w:rPr>
        <w:t>Gordon JA</w:t>
      </w:r>
      <w:r>
        <w:t xml:space="preserve">, Li Z, Croce CM, van </w:t>
      </w:r>
      <w:proofErr w:type="spellStart"/>
      <w:r>
        <w:t>Wijnen</w:t>
      </w:r>
      <w:proofErr w:type="spellEnd"/>
      <w:r>
        <w:t xml:space="preserve"> AJ, Stein JL, Stein GS, Lian JB. miR-218 directs a </w:t>
      </w:r>
      <w:proofErr w:type="spellStart"/>
      <w:r>
        <w:t>Wnt</w:t>
      </w:r>
      <w:proofErr w:type="spellEnd"/>
      <w:r>
        <w:t xml:space="preserve"> signaling circuit to promote differentiation of osteoblasts and </w:t>
      </w:r>
      <w:proofErr w:type="spellStart"/>
      <w:r>
        <w:t>osteomimicry</w:t>
      </w:r>
      <w:proofErr w:type="spellEnd"/>
      <w:r>
        <w:t xml:space="preserve"> of metastatic cancer cells. J Biol Chem. 2012 Dec 7;287(50):42084-92. PubMed Central PMCID: PMC3516754. </w:t>
      </w:r>
    </w:p>
    <w:p w14:paraId="791017F3" w14:textId="77777777" w:rsidR="0078547C" w:rsidRDefault="00000000">
      <w:pPr>
        <w:pStyle w:val="citationUlliParagraph"/>
        <w:numPr>
          <w:ilvl w:val="1"/>
          <w:numId w:val="4"/>
        </w:numPr>
        <w:ind w:left="750"/>
      </w:pPr>
      <w:r>
        <w:t xml:space="preserve">Hassan MQ, Gordon JA, </w:t>
      </w:r>
      <w:proofErr w:type="spellStart"/>
      <w:r>
        <w:t>Beloti</w:t>
      </w:r>
      <w:proofErr w:type="spellEnd"/>
      <w:r>
        <w:t xml:space="preserve"> MM, Croce CM, van </w:t>
      </w:r>
      <w:proofErr w:type="spellStart"/>
      <w:r>
        <w:t>Wijnen</w:t>
      </w:r>
      <w:proofErr w:type="spellEnd"/>
      <w:r>
        <w:t xml:space="preserve"> AJ, Stein JL, Stein GS, Lian JB. A network connecting Runx2, SATB2, and the miR-23a~27a~24-2 cluster regulates the osteoblast differentiation program. Proc Natl </w:t>
      </w:r>
      <w:proofErr w:type="spellStart"/>
      <w:r>
        <w:t>Acad</w:t>
      </w:r>
      <w:proofErr w:type="spellEnd"/>
      <w:r>
        <w:t xml:space="preserve"> Sci U S A. 2010 Nov 16;107(46):19879-84. PubMed Central PMCID: PMC2993380. </w:t>
      </w:r>
    </w:p>
    <w:p w14:paraId="7973B1C5" w14:textId="77777777" w:rsidR="0078547C" w:rsidRDefault="00000000">
      <w:pPr>
        <w:numPr>
          <w:ilvl w:val="0"/>
          <w:numId w:val="2"/>
        </w:numPr>
        <w:spacing w:before="220" w:after="220"/>
        <w:ind w:left="375"/>
      </w:pPr>
      <w:r>
        <w:t>The relationship of bone and metastatic cancer is complex and multi-</w:t>
      </w:r>
      <w:proofErr w:type="spellStart"/>
      <w:r>
        <w:t>factoral</w:t>
      </w:r>
      <w:proofErr w:type="spellEnd"/>
      <w:r>
        <w:t>, as many primary tumors preferentially metastasize to bone. The work of my co-authors and myself has defined cancer-related roles for bone-regulated genes. By defining the roles of these bone-related genes or bone-</w:t>
      </w:r>
      <w:proofErr w:type="spellStart"/>
      <w:r>
        <w:t>relatd</w:t>
      </w:r>
      <w:proofErr w:type="spellEnd"/>
      <w:r>
        <w:t xml:space="preserve"> cells in cancer may lead to novel therapeutics, risk identification and better understanding of </w:t>
      </w:r>
      <w:proofErr w:type="spellStart"/>
      <w:r>
        <w:t>osteotropic</w:t>
      </w:r>
      <w:proofErr w:type="spellEnd"/>
      <w:r>
        <w:t xml:space="preserve"> metastasis.</w:t>
      </w:r>
    </w:p>
    <w:p w14:paraId="6677D35E" w14:textId="77777777" w:rsidR="0078547C" w:rsidRDefault="00000000">
      <w:pPr>
        <w:pStyle w:val="citationUlliParagraph"/>
        <w:numPr>
          <w:ilvl w:val="1"/>
          <w:numId w:val="5"/>
        </w:numPr>
        <w:ind w:left="750"/>
      </w:pPr>
      <w:r w:rsidRPr="00BE7803">
        <w:rPr>
          <w:b/>
          <w:bCs/>
        </w:rPr>
        <w:t>Gordon JAR</w:t>
      </w:r>
      <w:r>
        <w:t xml:space="preserve">, Evans MF, </w:t>
      </w:r>
      <w:proofErr w:type="spellStart"/>
      <w:r>
        <w:t>Ghule</w:t>
      </w:r>
      <w:proofErr w:type="spellEnd"/>
      <w:r>
        <w:t xml:space="preserve"> PN, Lee K, </w:t>
      </w:r>
      <w:proofErr w:type="spellStart"/>
      <w:r>
        <w:t>Vacek</w:t>
      </w:r>
      <w:proofErr w:type="spellEnd"/>
      <w:r>
        <w:t xml:space="preserve"> P, Sprague BL, Weaver DL, Stein GS, Stein JL. Identification of molecularly unique tumor-associated mesenchymal stromal cells in breast cancer patients. </w:t>
      </w:r>
      <w:proofErr w:type="spellStart"/>
      <w:r>
        <w:t>PLoS</w:t>
      </w:r>
      <w:proofErr w:type="spellEnd"/>
      <w:r>
        <w:t xml:space="preserve"> One. 2023;18(3):e0282473. PubMed Central PMCID: PMC10027225. </w:t>
      </w:r>
    </w:p>
    <w:p w14:paraId="1DF4A048" w14:textId="77777777" w:rsidR="0078547C" w:rsidRDefault="00000000">
      <w:pPr>
        <w:pStyle w:val="citationUlliParagraph"/>
        <w:numPr>
          <w:ilvl w:val="1"/>
          <w:numId w:val="5"/>
        </w:numPr>
        <w:ind w:left="750"/>
      </w:pPr>
      <w:proofErr w:type="spellStart"/>
      <w:r>
        <w:t>Nachmanson</w:t>
      </w:r>
      <w:proofErr w:type="spellEnd"/>
      <w:r>
        <w:t xml:space="preserve"> D, Officer A, Mori H, </w:t>
      </w:r>
      <w:r w:rsidRPr="00BE7803">
        <w:rPr>
          <w:b/>
          <w:bCs/>
        </w:rPr>
        <w:t>Gordon J</w:t>
      </w:r>
      <w:r>
        <w:t xml:space="preserve">, Evans MF, Steward J, Yao H, O'Keefe T, </w:t>
      </w:r>
      <w:proofErr w:type="spellStart"/>
      <w:r>
        <w:t>Hasteh</w:t>
      </w:r>
      <w:proofErr w:type="spellEnd"/>
      <w:r>
        <w:t xml:space="preserve"> F, Stein GS, Jepsen K, Weaver DL, Hirst GL, Sprague BL, Esserman LJ, </w:t>
      </w:r>
      <w:proofErr w:type="spellStart"/>
      <w:r>
        <w:t>Borowsky</w:t>
      </w:r>
      <w:proofErr w:type="spellEnd"/>
      <w:r>
        <w:t xml:space="preserve"> AD, Stein JL, </w:t>
      </w:r>
      <w:proofErr w:type="spellStart"/>
      <w:r>
        <w:t>Harismendy</w:t>
      </w:r>
      <w:proofErr w:type="spellEnd"/>
      <w:r>
        <w:t xml:space="preserve"> O. The breast pre-cancer atlas illustrates the molecular and micro-environmental diversity of ductal carcinoma in situ. NPJ Breast Cancer. 2022 Jan 13;8(1):6. PubMed Central PMCID: PMC8758681. </w:t>
      </w:r>
    </w:p>
    <w:p w14:paraId="4CB5A98C" w14:textId="77777777" w:rsidR="0078547C" w:rsidRDefault="00000000">
      <w:pPr>
        <w:pStyle w:val="citationUlliParagraph"/>
        <w:numPr>
          <w:ilvl w:val="1"/>
          <w:numId w:val="5"/>
        </w:numPr>
        <w:ind w:left="750"/>
      </w:pPr>
      <w:r>
        <w:t xml:space="preserve">Del Mare S, </w:t>
      </w:r>
      <w:proofErr w:type="spellStart"/>
      <w:r>
        <w:t>Husanie</w:t>
      </w:r>
      <w:proofErr w:type="spellEnd"/>
      <w:r>
        <w:t xml:space="preserve"> H, Iancu O, Abu-Odeh M, </w:t>
      </w:r>
      <w:proofErr w:type="spellStart"/>
      <w:r>
        <w:t>Evangelou</w:t>
      </w:r>
      <w:proofErr w:type="spellEnd"/>
      <w:r>
        <w:t xml:space="preserve"> K, Lovat F, </w:t>
      </w:r>
      <w:proofErr w:type="spellStart"/>
      <w:r>
        <w:t>Volinia</w:t>
      </w:r>
      <w:proofErr w:type="spellEnd"/>
      <w:r>
        <w:t xml:space="preserve"> S, </w:t>
      </w:r>
      <w:r w:rsidRPr="00BE7803">
        <w:rPr>
          <w:b/>
          <w:bCs/>
        </w:rPr>
        <w:t>Gordon J</w:t>
      </w:r>
      <w:r>
        <w:t xml:space="preserve">, Amir G, Stein J, Stein GS, Croce CM, </w:t>
      </w:r>
      <w:proofErr w:type="spellStart"/>
      <w:r>
        <w:t>Gorgoulis</w:t>
      </w:r>
      <w:proofErr w:type="spellEnd"/>
      <w:r>
        <w:t xml:space="preserve"> V, Lian JB, </w:t>
      </w:r>
      <w:proofErr w:type="spellStart"/>
      <w:r>
        <w:t>Aqeilan</w:t>
      </w:r>
      <w:proofErr w:type="spellEnd"/>
      <w:r>
        <w:t xml:space="preserve"> RI. WWOX and p53 Dysregulation Synergize to Drive the Development of Osteosarcoma. Cancer Res. 2016 Oct 15;76(20):6107-6117. PubMed Central PMCID: PMC5146760. </w:t>
      </w:r>
    </w:p>
    <w:p w14:paraId="70362CF5" w14:textId="77777777" w:rsidR="0078547C" w:rsidRDefault="00000000">
      <w:pPr>
        <w:pStyle w:val="citationUlliParagraph"/>
        <w:numPr>
          <w:ilvl w:val="1"/>
          <w:numId w:val="5"/>
        </w:numPr>
        <w:spacing w:after="220"/>
        <w:ind w:left="750"/>
      </w:pPr>
      <w:r w:rsidRPr="00BE7803">
        <w:rPr>
          <w:b/>
          <w:bCs/>
        </w:rPr>
        <w:t>Gordon JA</w:t>
      </w:r>
      <w:r>
        <w:t xml:space="preserve">, </w:t>
      </w:r>
      <w:proofErr w:type="spellStart"/>
      <w:r>
        <w:t>Sodek</w:t>
      </w:r>
      <w:proofErr w:type="spellEnd"/>
      <w:r>
        <w:t xml:space="preserve"> J, Hunter GK, Goldberg HA. Bone sialoprotein stimulates focal adhesion-related signaling pathways: role in migration and survival of breast and prostate cancer cells. J Cell </w:t>
      </w:r>
      <w:proofErr w:type="spellStart"/>
      <w:r>
        <w:t>Biochem</w:t>
      </w:r>
      <w:proofErr w:type="spellEnd"/>
      <w:r>
        <w:t xml:space="preserve">. 2009 Aug 15;107(6):1118-28. PubMed PMID: 19492334. </w:t>
      </w:r>
    </w:p>
    <w:p w14:paraId="4A38E19C" w14:textId="77777777" w:rsidR="00447AC9" w:rsidRDefault="00BE7803" w:rsidP="00447AC9">
      <w:pPr>
        <w:jc w:val="both"/>
        <w:rPr>
          <w:b/>
          <w:u w:val="single"/>
        </w:rPr>
      </w:pPr>
      <w:r w:rsidRPr="00BE7803">
        <w:rPr>
          <w:b/>
          <w:u w:val="single"/>
        </w:rPr>
        <w:t>Complete list of Publications</w:t>
      </w:r>
    </w:p>
    <w:p w14:paraId="017D6046" w14:textId="4BC54459" w:rsidR="00BE7803" w:rsidRPr="00447AC9" w:rsidRDefault="00447AC9" w:rsidP="00447AC9">
      <w:pPr>
        <w:jc w:val="both"/>
        <w:rPr>
          <w:b/>
          <w:u w:val="single"/>
        </w:rPr>
      </w:pPr>
      <w:hyperlink r:id="rId5" w:history="1">
        <w:r w:rsidRPr="0034508F">
          <w:rPr>
            <w:rStyle w:val="Hyperlink"/>
          </w:rPr>
          <w:t>https://www.ncbi.nlm.nih.gov/myncbi/jonathan.gordon.1/bibliography/public/</w:t>
        </w:r>
      </w:hyperlink>
    </w:p>
    <w:p w14:paraId="0B0A03F0" w14:textId="77777777" w:rsidR="00BE7803" w:rsidRDefault="00BE7803" w:rsidP="00BE7803">
      <w:pPr>
        <w:pStyle w:val="citationUlliParagraph"/>
        <w:spacing w:after="220"/>
      </w:pPr>
    </w:p>
    <w:sectPr w:rsidR="00BE780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2312711">
    <w:abstractNumId w:val="0"/>
  </w:num>
  <w:num w:numId="2" w16cid:durableId="21438422">
    <w:abstractNumId w:val="1"/>
  </w:num>
  <w:num w:numId="3" w16cid:durableId="862939819">
    <w:abstractNumId w:val="2"/>
  </w:num>
  <w:num w:numId="4" w16cid:durableId="528030080">
    <w:abstractNumId w:val="3"/>
  </w:num>
  <w:num w:numId="5" w16cid:durableId="107362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7C"/>
    <w:rsid w:val="00447AC9"/>
    <w:rsid w:val="0078547C"/>
    <w:rsid w:val="00835742"/>
    <w:rsid w:val="00957E69"/>
    <w:rsid w:val="00BE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65A0"/>
  <w15:docId w15:val="{C7EDCCD2-2B5C-A14A-A836-6682401A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character" w:styleId="Hyperlink">
    <w:name w:val="Hyperlink"/>
    <w:basedOn w:val="DefaultParagraphFont"/>
    <w:rsid w:val="00BE7803"/>
    <w:rPr>
      <w:color w:val="0000FF"/>
      <w:u w:val="single"/>
    </w:rPr>
  </w:style>
  <w:style w:type="paragraph" w:styleId="ListParagraph">
    <w:name w:val="List Paragraph"/>
    <w:basedOn w:val="Normal"/>
    <w:uiPriority w:val="34"/>
    <w:qFormat/>
    <w:rsid w:val="00BE7803"/>
    <w:pPr>
      <w:ind w:left="720"/>
      <w:contextualSpacing/>
    </w:pPr>
  </w:style>
  <w:style w:type="character" w:styleId="UnresolvedMention">
    <w:name w:val="Unresolved Mention"/>
    <w:basedOn w:val="DefaultParagraphFont"/>
    <w:uiPriority w:val="99"/>
    <w:semiHidden/>
    <w:unhideWhenUsed/>
    <w:rsid w:val="00BE7803"/>
    <w:rPr>
      <w:color w:val="605E5C"/>
      <w:shd w:val="clear" w:color="auto" w:fill="E1DFDD"/>
    </w:rPr>
  </w:style>
  <w:style w:type="character" w:styleId="FollowedHyperlink">
    <w:name w:val="FollowedHyperlink"/>
    <w:basedOn w:val="DefaultParagraphFont"/>
    <w:uiPriority w:val="99"/>
    <w:semiHidden/>
    <w:unhideWhenUsed/>
    <w:rsid w:val="00447A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myncbi/jonathan.gordon.1/bibliography/publ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cp:lastModifiedBy>Jonathan Gordon</cp:lastModifiedBy>
  <cp:revision>2</cp:revision>
  <dcterms:created xsi:type="dcterms:W3CDTF">2024-09-25T14:05:00Z</dcterms:created>
  <dcterms:modified xsi:type="dcterms:W3CDTF">2024-09-25T14:05:00Z</dcterms:modified>
</cp:coreProperties>
</file>