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D6BA" w14:textId="610A9974" w:rsidR="009F14EF" w:rsidRPr="00C42B0E" w:rsidRDefault="009F14EF" w:rsidP="00CE4ABB">
      <w:pPr>
        <w:spacing w:before="200" w:after="200"/>
        <w:jc w:val="center"/>
        <w:rPr>
          <w:rFonts w:ascii="Lora" w:hAnsi="Lora" w:cs="Times New Roman"/>
          <w:color w:val="134733"/>
          <w:sz w:val="32"/>
          <w:szCs w:val="32"/>
        </w:rPr>
      </w:pPr>
      <w:r w:rsidRPr="00C42B0E">
        <w:rPr>
          <w:rFonts w:ascii="Lora" w:hAnsi="Lora" w:cs="Times New Roman"/>
          <w:color w:val="134733"/>
          <w:sz w:val="32"/>
          <w:szCs w:val="32"/>
        </w:rPr>
        <w:t>Internal Guidance on the DOJ Bulk Data Rule</w:t>
      </w:r>
    </w:p>
    <w:p w14:paraId="165F545F" w14:textId="355D8D83" w:rsidR="00CE4ABB" w:rsidRDefault="009F14EF" w:rsidP="00CE4ABB">
      <w:pPr>
        <w:spacing w:before="200" w:after="200"/>
        <w:jc w:val="both"/>
        <w:rPr>
          <w:rFonts w:ascii="Aptos" w:hAnsi="Aptos" w:cs="Times New Roman"/>
          <w:sz w:val="22"/>
          <w:szCs w:val="22"/>
        </w:rPr>
      </w:pPr>
      <w:r w:rsidRPr="00CE4ABB">
        <w:rPr>
          <w:rFonts w:ascii="Aptos" w:hAnsi="Aptos" w:cs="Times New Roman"/>
          <w:b/>
          <w:bCs/>
          <w:sz w:val="22"/>
          <w:szCs w:val="22"/>
        </w:rPr>
        <w:t>Effective Date:</w:t>
      </w:r>
      <w:r w:rsidRPr="00CE4ABB">
        <w:rPr>
          <w:rFonts w:ascii="Aptos" w:hAnsi="Aptos" w:cs="Times New Roman"/>
          <w:sz w:val="22"/>
          <w:szCs w:val="22"/>
        </w:rPr>
        <w:t xml:space="preserve"> </w:t>
      </w:r>
      <w:r w:rsidR="00CE4ABB">
        <w:rPr>
          <w:rFonts w:ascii="Aptos" w:hAnsi="Aptos" w:cs="Times New Roman"/>
          <w:sz w:val="22"/>
          <w:szCs w:val="22"/>
        </w:rPr>
        <w:t>January 1, 2026</w:t>
      </w:r>
    </w:p>
    <w:p w14:paraId="12B97C82" w14:textId="1FFAEF26" w:rsidR="009F14EF" w:rsidRPr="00CE4ABB" w:rsidRDefault="009F14EF" w:rsidP="00CE4ABB">
      <w:pPr>
        <w:spacing w:before="200" w:after="200"/>
        <w:jc w:val="both"/>
        <w:rPr>
          <w:rFonts w:ascii="Aptos" w:hAnsi="Aptos" w:cs="Times New Roman"/>
          <w:sz w:val="22"/>
          <w:szCs w:val="22"/>
        </w:rPr>
      </w:pPr>
      <w:r w:rsidRPr="00CE4ABB">
        <w:rPr>
          <w:rFonts w:ascii="Aptos" w:hAnsi="Aptos" w:cs="Times New Roman"/>
          <w:b/>
          <w:bCs/>
          <w:sz w:val="22"/>
          <w:szCs w:val="22"/>
        </w:rPr>
        <w:t>Responsible Office:</w:t>
      </w:r>
      <w:r w:rsidRPr="00CE4ABB">
        <w:rPr>
          <w:rFonts w:ascii="Aptos" w:hAnsi="Aptos" w:cs="Times New Roman"/>
          <w:sz w:val="22"/>
          <w:szCs w:val="22"/>
        </w:rPr>
        <w:t xml:space="preserve"> Office of </w:t>
      </w:r>
      <w:r w:rsidR="00CE4ABB">
        <w:rPr>
          <w:rFonts w:ascii="Aptos" w:hAnsi="Aptos" w:cs="Times New Roman"/>
          <w:sz w:val="22"/>
          <w:szCs w:val="22"/>
        </w:rPr>
        <w:t>the Vice President for Research (OVPR)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C42B0E" w14:paraId="58E38DE5" w14:textId="77777777">
        <w:tc>
          <w:tcPr>
            <w:tcW w:w="2155" w:type="dxa"/>
            <w:shd w:val="clear" w:color="auto" w:fill="FFD200"/>
          </w:tcPr>
          <w:p w14:paraId="387418AE" w14:textId="77777777" w:rsidR="00C42B0E" w:rsidRPr="00AC4323" w:rsidRDefault="00C42B0E">
            <w:pPr>
              <w:rPr>
                <w:rFonts w:ascii="Aptos" w:hAnsi="Aptos" w:cs="Times New Roman"/>
                <w:sz w:val="4"/>
                <w:szCs w:val="4"/>
              </w:rPr>
            </w:pPr>
          </w:p>
        </w:tc>
      </w:tr>
      <w:tr w:rsidR="00C42B0E" w:rsidRPr="00AC4323" w14:paraId="7C20ECDD" w14:textId="77777777">
        <w:tc>
          <w:tcPr>
            <w:tcW w:w="2155" w:type="dxa"/>
            <w:shd w:val="clear" w:color="auto" w:fill="154733"/>
          </w:tcPr>
          <w:p w14:paraId="2CC77D5C" w14:textId="77777777" w:rsidR="00C42B0E" w:rsidRPr="00AC4323" w:rsidRDefault="00C42B0E">
            <w:pPr>
              <w:rPr>
                <w:rFonts w:ascii="Aptos" w:hAnsi="Aptos" w:cs="Times New Roman"/>
                <w:sz w:val="10"/>
                <w:szCs w:val="10"/>
              </w:rPr>
            </w:pPr>
          </w:p>
        </w:tc>
      </w:tr>
    </w:tbl>
    <w:p w14:paraId="1B6A75D3" w14:textId="5B53E33D" w:rsidR="00C42B0E" w:rsidRPr="00C42B0E" w:rsidRDefault="00C42B0E" w:rsidP="00B71F4C">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Part I: Purpose and Scope</w:t>
      </w:r>
    </w:p>
    <w:p w14:paraId="130B03A2" w14:textId="60A2D498" w:rsidR="00CE4ABB" w:rsidRPr="00CE4ABB" w:rsidRDefault="009F14EF" w:rsidP="00CE4ABB">
      <w:pPr>
        <w:spacing w:before="200" w:after="200"/>
        <w:jc w:val="both"/>
        <w:rPr>
          <w:rFonts w:ascii="Aptos" w:hAnsi="Aptos" w:cs="Times New Roman"/>
          <w:sz w:val="22"/>
          <w:szCs w:val="22"/>
        </w:rPr>
      </w:pPr>
      <w:r w:rsidRPr="00CE4ABB">
        <w:rPr>
          <w:rFonts w:ascii="Aptos" w:hAnsi="Aptos" w:cs="Times New Roman"/>
          <w:sz w:val="22"/>
          <w:szCs w:val="22"/>
        </w:rPr>
        <w:t xml:space="preserve">This guidance explains the U.S. Department of Justice’s </w:t>
      </w:r>
      <w:hyperlink r:id="rId11" w:history="1">
        <w:r w:rsidRPr="00C42B0E">
          <w:rPr>
            <w:rStyle w:val="Hyperlink"/>
            <w:rFonts w:ascii="Aptos" w:hAnsi="Aptos" w:cs="Times New Roman"/>
            <w:sz w:val="22"/>
            <w:szCs w:val="22"/>
          </w:rPr>
          <w:t>Final Rule on Preventing Access to U.S. Sensitive Personal Data and U.S. Government</w:t>
        </w:r>
        <w:r w:rsidRPr="00C42B0E">
          <w:rPr>
            <w:rStyle w:val="Hyperlink"/>
            <w:rFonts w:ascii="Aptos" w:hAnsi="Aptos" w:cs="Times New Roman"/>
            <w:sz w:val="22"/>
            <w:szCs w:val="22"/>
          </w:rPr>
          <w:noBreakHyphen/>
          <w:t>Related Data</w:t>
        </w:r>
      </w:hyperlink>
      <w:r w:rsidRPr="00CE4ABB">
        <w:rPr>
          <w:rFonts w:ascii="Aptos" w:hAnsi="Aptos" w:cs="Times New Roman"/>
          <w:sz w:val="22"/>
          <w:szCs w:val="22"/>
        </w:rPr>
        <w:t xml:space="preserve"> (“Bulk Data Rule”), effective April 8, 2025</w:t>
      </w:r>
      <w:r w:rsidR="00CE4ABB" w:rsidRPr="00CE4ABB">
        <w:rPr>
          <w:rFonts w:ascii="Aptos" w:hAnsi="Aptos" w:cs="Times New Roman"/>
          <w:sz w:val="22"/>
          <w:szCs w:val="22"/>
        </w:rPr>
        <w:t>, and UVM’s related responsibilities for compliance.</w:t>
      </w:r>
    </w:p>
    <w:p w14:paraId="50E6E683" w14:textId="28970E8F" w:rsidR="009F14EF" w:rsidRPr="00CE4ABB" w:rsidRDefault="009F14EF" w:rsidP="00CE4ABB">
      <w:pPr>
        <w:spacing w:before="200" w:after="200"/>
        <w:jc w:val="both"/>
        <w:rPr>
          <w:rFonts w:ascii="Aptos" w:hAnsi="Aptos" w:cs="Times New Roman"/>
          <w:sz w:val="22"/>
          <w:szCs w:val="22"/>
        </w:rPr>
      </w:pPr>
      <w:r w:rsidRPr="00CE4ABB">
        <w:rPr>
          <w:rFonts w:ascii="Aptos" w:hAnsi="Aptos" w:cs="Times New Roman"/>
          <w:sz w:val="22"/>
          <w:szCs w:val="22"/>
        </w:rPr>
        <w:t>It applies to:</w:t>
      </w:r>
    </w:p>
    <w:p w14:paraId="45261F62" w14:textId="187BEB08" w:rsidR="009F14EF" w:rsidRPr="00C42B0E" w:rsidRDefault="009F14EF" w:rsidP="00CE4ABB">
      <w:pPr>
        <w:numPr>
          <w:ilvl w:val="0"/>
          <w:numId w:val="10"/>
        </w:numPr>
        <w:spacing w:before="200" w:after="200"/>
        <w:jc w:val="both"/>
        <w:rPr>
          <w:rFonts w:ascii="Aptos" w:hAnsi="Aptos" w:cs="Times New Roman"/>
          <w:sz w:val="22"/>
          <w:szCs w:val="22"/>
        </w:rPr>
      </w:pPr>
      <w:r w:rsidRPr="00C42B0E">
        <w:rPr>
          <w:rFonts w:ascii="Aptos" w:hAnsi="Aptos" w:cs="Times New Roman"/>
          <w:sz w:val="22"/>
          <w:szCs w:val="22"/>
        </w:rPr>
        <w:t>Any data sharing, including transfers of research datasets, human biological materials containing data, or administrative datasets</w:t>
      </w:r>
      <w:r w:rsidR="00B53566">
        <w:rPr>
          <w:rFonts w:ascii="Aptos" w:hAnsi="Aptos" w:cs="Times New Roman"/>
          <w:sz w:val="22"/>
          <w:szCs w:val="22"/>
        </w:rPr>
        <w:t xml:space="preserve"> to</w:t>
      </w:r>
      <w:r w:rsidR="00554809">
        <w:rPr>
          <w:rFonts w:ascii="Aptos" w:hAnsi="Aptos" w:cs="Times New Roman"/>
          <w:sz w:val="22"/>
          <w:szCs w:val="22"/>
        </w:rPr>
        <w:t xml:space="preserve"> “</w:t>
      </w:r>
      <w:hyperlink r:id="rId12" w:history="1">
        <w:r w:rsidR="00B53566" w:rsidRPr="003945B8">
          <w:rPr>
            <w:rStyle w:val="Hyperlink"/>
            <w:rFonts w:ascii="Aptos" w:hAnsi="Aptos" w:cs="Times New Roman"/>
            <w:sz w:val="22"/>
            <w:szCs w:val="22"/>
          </w:rPr>
          <w:t>Countries of Concern</w:t>
        </w:r>
      </w:hyperlink>
      <w:r w:rsidR="00B53566">
        <w:rPr>
          <w:rFonts w:ascii="Aptos" w:hAnsi="Aptos" w:cs="Times New Roman"/>
          <w:sz w:val="22"/>
          <w:szCs w:val="22"/>
        </w:rPr>
        <w:t>” (CoC)</w:t>
      </w:r>
      <w:r w:rsidR="003945B8">
        <w:rPr>
          <w:rFonts w:ascii="Aptos" w:hAnsi="Aptos" w:cs="Times New Roman"/>
          <w:sz w:val="22"/>
          <w:szCs w:val="22"/>
        </w:rPr>
        <w:t xml:space="preserve"> as </w:t>
      </w:r>
      <w:r w:rsidR="00554809">
        <w:rPr>
          <w:rFonts w:ascii="Aptos" w:hAnsi="Aptos" w:cs="Times New Roman"/>
          <w:sz w:val="22"/>
          <w:szCs w:val="22"/>
        </w:rPr>
        <w:t>specified</w:t>
      </w:r>
      <w:r w:rsidR="003945B8">
        <w:rPr>
          <w:rFonts w:ascii="Aptos" w:hAnsi="Aptos" w:cs="Times New Roman"/>
          <w:sz w:val="22"/>
          <w:szCs w:val="22"/>
        </w:rPr>
        <w:t xml:space="preserve"> by the U.S. Department of State</w:t>
      </w:r>
      <w:r w:rsidR="008F4AE0">
        <w:rPr>
          <w:rFonts w:ascii="Aptos" w:hAnsi="Aptos" w:cs="Times New Roman"/>
          <w:sz w:val="22"/>
          <w:szCs w:val="22"/>
        </w:rPr>
        <w:t>.</w:t>
      </w:r>
    </w:p>
    <w:p w14:paraId="628ECCBD" w14:textId="3B28E67C" w:rsidR="009F14EF" w:rsidRPr="00C42B0E" w:rsidRDefault="009F14EF" w:rsidP="00CE4ABB">
      <w:pPr>
        <w:numPr>
          <w:ilvl w:val="0"/>
          <w:numId w:val="10"/>
        </w:numPr>
        <w:spacing w:before="200" w:after="200"/>
        <w:jc w:val="both"/>
        <w:rPr>
          <w:rFonts w:ascii="Aptos" w:hAnsi="Aptos" w:cs="Times New Roman"/>
          <w:sz w:val="22"/>
          <w:szCs w:val="22"/>
        </w:rPr>
      </w:pPr>
      <w:r w:rsidRPr="00C42B0E">
        <w:rPr>
          <w:rFonts w:ascii="Aptos" w:hAnsi="Aptos" w:cs="Times New Roman"/>
          <w:sz w:val="22"/>
          <w:szCs w:val="22"/>
        </w:rPr>
        <w:t xml:space="preserve">Any outgoing Data Use Agreement (DUA) or other contractual arrangement that could involve volumes of data that meet or exceed the </w:t>
      </w:r>
      <w:r w:rsidR="00C42B0E">
        <w:rPr>
          <w:rFonts w:ascii="Aptos" w:hAnsi="Aptos" w:cs="Times New Roman"/>
          <w:sz w:val="22"/>
          <w:szCs w:val="22"/>
        </w:rPr>
        <w:t xml:space="preserve">Bulk Data </w:t>
      </w:r>
      <w:r w:rsidRPr="00C42B0E">
        <w:rPr>
          <w:rFonts w:ascii="Aptos" w:hAnsi="Aptos" w:cs="Times New Roman"/>
          <w:sz w:val="22"/>
          <w:szCs w:val="22"/>
        </w:rPr>
        <w:t>Rule’s thresholds</w:t>
      </w:r>
      <w:r w:rsidR="00A33822">
        <w:rPr>
          <w:rFonts w:ascii="Aptos" w:hAnsi="Aptos" w:cs="Times New Roman"/>
          <w:sz w:val="22"/>
          <w:szCs w:val="22"/>
        </w:rPr>
        <w:t xml:space="preserve"> (defined below)</w:t>
      </w:r>
      <w:r w:rsidRPr="00C42B0E">
        <w:rPr>
          <w:rFonts w:ascii="Aptos" w:hAnsi="Aptos" w:cs="Times New Roman"/>
          <w:sz w:val="22"/>
          <w:szCs w:val="22"/>
        </w:rPr>
        <w:t>.</w:t>
      </w:r>
    </w:p>
    <w:p w14:paraId="602718CB" w14:textId="6CB53874" w:rsidR="004B2A59" w:rsidRPr="00CE4ABB" w:rsidRDefault="009F14EF" w:rsidP="004B2A59">
      <w:pPr>
        <w:spacing w:before="200" w:after="200"/>
        <w:jc w:val="both"/>
        <w:rPr>
          <w:rFonts w:ascii="Aptos" w:hAnsi="Aptos" w:cs="Times New Roman"/>
          <w:sz w:val="22"/>
          <w:szCs w:val="22"/>
        </w:rPr>
      </w:pPr>
      <w:r w:rsidRPr="00CE4ABB">
        <w:rPr>
          <w:rFonts w:ascii="Aptos" w:hAnsi="Aptos" w:cs="Times New Roman"/>
          <w:sz w:val="22"/>
          <w:szCs w:val="22"/>
        </w:rPr>
        <w:t>UVM personnel involved in research, data sharing, contracting, or repository submissions must follow this guidance.</w:t>
      </w:r>
      <w:r w:rsidR="004B2A59" w:rsidRPr="004B2A59">
        <w:rPr>
          <w:rFonts w:ascii="Aptos" w:hAnsi="Aptos" w:cs="Times New Roman"/>
          <w:b/>
          <w:bCs/>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4B2A59" w14:paraId="2CBF0FEB" w14:textId="77777777">
        <w:tc>
          <w:tcPr>
            <w:tcW w:w="2155" w:type="dxa"/>
            <w:shd w:val="clear" w:color="auto" w:fill="FFD200"/>
          </w:tcPr>
          <w:p w14:paraId="56EF132A" w14:textId="77777777" w:rsidR="004B2A59" w:rsidRPr="00AC4323" w:rsidRDefault="004B2A59">
            <w:pPr>
              <w:rPr>
                <w:rFonts w:ascii="Aptos" w:hAnsi="Aptos" w:cs="Times New Roman"/>
                <w:sz w:val="4"/>
                <w:szCs w:val="4"/>
              </w:rPr>
            </w:pPr>
          </w:p>
        </w:tc>
      </w:tr>
      <w:tr w:rsidR="004B2A59" w:rsidRPr="00AC4323" w14:paraId="7F7199EC" w14:textId="77777777">
        <w:tc>
          <w:tcPr>
            <w:tcW w:w="2155" w:type="dxa"/>
            <w:shd w:val="clear" w:color="auto" w:fill="154733"/>
          </w:tcPr>
          <w:p w14:paraId="38D28629" w14:textId="77777777" w:rsidR="004B2A59" w:rsidRPr="00AC4323" w:rsidRDefault="004B2A59">
            <w:pPr>
              <w:rPr>
                <w:rFonts w:ascii="Aptos" w:hAnsi="Aptos" w:cs="Times New Roman"/>
                <w:sz w:val="10"/>
                <w:szCs w:val="10"/>
              </w:rPr>
            </w:pPr>
          </w:p>
        </w:tc>
      </w:tr>
    </w:tbl>
    <w:p w14:paraId="442AFA6E" w14:textId="1B96E76B" w:rsidR="004B2A59" w:rsidRPr="00C42B0E" w:rsidRDefault="004B2A59" w:rsidP="004B2A59">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Part I</w:t>
      </w:r>
      <w:r>
        <w:rPr>
          <w:rFonts w:ascii="Lora" w:hAnsi="Lora" w:cs="Times New Roman"/>
          <w:color w:val="134733"/>
        </w:rPr>
        <w:t>I</w:t>
      </w:r>
      <w:r w:rsidRPr="00C42B0E">
        <w:rPr>
          <w:rFonts w:ascii="Lora" w:hAnsi="Lora" w:cs="Times New Roman"/>
          <w:color w:val="134733"/>
        </w:rPr>
        <w:t xml:space="preserve">: </w:t>
      </w:r>
      <w:r w:rsidR="00F14B69">
        <w:rPr>
          <w:rFonts w:ascii="Lora" w:hAnsi="Lora" w:cs="Times New Roman"/>
          <w:color w:val="134733"/>
        </w:rPr>
        <w:t>Definitions</w:t>
      </w:r>
    </w:p>
    <w:p w14:paraId="11C5976C" w14:textId="17F5AF58" w:rsidR="0060076D" w:rsidRPr="0060076D" w:rsidRDefault="00432522" w:rsidP="004D05BF">
      <w:pPr>
        <w:spacing w:before="200" w:after="200"/>
        <w:ind w:left="360" w:hanging="360"/>
        <w:jc w:val="both"/>
        <w:rPr>
          <w:rFonts w:ascii="Aptos" w:hAnsi="Aptos" w:cs="Times New Roman"/>
          <w:sz w:val="22"/>
          <w:szCs w:val="22"/>
        </w:rPr>
      </w:pPr>
      <w:r>
        <w:rPr>
          <w:rFonts w:ascii="Aptos" w:hAnsi="Aptos"/>
          <w:i/>
          <w:iCs/>
          <w:sz w:val="22"/>
          <w:szCs w:val="22"/>
          <w:u w:val="single"/>
        </w:rPr>
        <w:t>Countries of Concern</w:t>
      </w:r>
      <w:r w:rsidR="00723A10">
        <w:rPr>
          <w:rFonts w:ascii="Aptos" w:hAnsi="Aptos"/>
          <w:sz w:val="22"/>
          <w:szCs w:val="22"/>
        </w:rPr>
        <w:t>:</w:t>
      </w:r>
      <w:r w:rsidR="0060076D" w:rsidRPr="0060076D">
        <w:rPr>
          <w:rFonts w:ascii="Aptos" w:hAnsi="Aptos" w:cs="Times New Roman"/>
          <w:b/>
          <w:bCs/>
          <w:sz w:val="22"/>
          <w:szCs w:val="22"/>
        </w:rPr>
        <w:t xml:space="preserve"> </w:t>
      </w:r>
      <w:r w:rsidR="0060076D" w:rsidRPr="0060076D">
        <w:rPr>
          <w:rFonts w:ascii="Aptos" w:hAnsi="Aptos" w:cs="Times New Roman"/>
          <w:sz w:val="22"/>
          <w:szCs w:val="22"/>
        </w:rPr>
        <w:t xml:space="preserve">As of January 8, 2025, Countries of Concern </w:t>
      </w:r>
      <w:r w:rsidR="001F3865">
        <w:rPr>
          <w:rFonts w:ascii="Aptos" w:hAnsi="Aptos" w:cs="Times New Roman"/>
          <w:sz w:val="22"/>
          <w:szCs w:val="22"/>
        </w:rPr>
        <w:t>are</w:t>
      </w:r>
      <w:r w:rsidR="0060076D">
        <w:rPr>
          <w:rFonts w:ascii="Aptos" w:hAnsi="Aptos" w:cs="Times New Roman"/>
          <w:sz w:val="22"/>
          <w:szCs w:val="22"/>
        </w:rPr>
        <w:t xml:space="preserve"> </w:t>
      </w:r>
      <w:r w:rsidR="0060076D" w:rsidRPr="00CD3CA0">
        <w:rPr>
          <w:rFonts w:ascii="Aptos" w:hAnsi="Aptos"/>
          <w:color w:val="000000"/>
          <w:sz w:val="22"/>
          <w:szCs w:val="22"/>
        </w:rPr>
        <w:t>China</w:t>
      </w:r>
      <w:r w:rsidR="001F3865">
        <w:rPr>
          <w:rFonts w:ascii="Aptos" w:hAnsi="Aptos"/>
          <w:color w:val="000000"/>
          <w:sz w:val="22"/>
          <w:szCs w:val="22"/>
        </w:rPr>
        <w:t xml:space="preserve"> (including Hong Kong and Macau)</w:t>
      </w:r>
      <w:r w:rsidR="0060076D">
        <w:rPr>
          <w:rFonts w:ascii="Aptos" w:hAnsi="Aptos"/>
          <w:color w:val="000000"/>
          <w:sz w:val="22"/>
          <w:szCs w:val="22"/>
        </w:rPr>
        <w:t xml:space="preserve">, </w:t>
      </w:r>
      <w:r w:rsidR="0060076D" w:rsidRPr="00CD3CA0">
        <w:rPr>
          <w:rFonts w:ascii="Aptos" w:hAnsi="Aptos"/>
          <w:color w:val="000000"/>
          <w:sz w:val="22"/>
          <w:szCs w:val="22"/>
        </w:rPr>
        <w:t>Cuba</w:t>
      </w:r>
      <w:r w:rsidR="0060076D">
        <w:rPr>
          <w:rFonts w:ascii="Aptos" w:hAnsi="Aptos"/>
          <w:color w:val="000000"/>
          <w:sz w:val="22"/>
          <w:szCs w:val="22"/>
        </w:rPr>
        <w:t xml:space="preserve">, </w:t>
      </w:r>
      <w:r w:rsidR="0060076D" w:rsidRPr="00CD3CA0">
        <w:rPr>
          <w:rFonts w:ascii="Aptos" w:hAnsi="Aptos"/>
          <w:color w:val="000000"/>
          <w:sz w:val="22"/>
          <w:szCs w:val="22"/>
        </w:rPr>
        <w:t>Iran</w:t>
      </w:r>
      <w:r w:rsidR="0060076D">
        <w:rPr>
          <w:rFonts w:ascii="Aptos" w:hAnsi="Aptos"/>
          <w:color w:val="000000"/>
          <w:sz w:val="22"/>
          <w:szCs w:val="22"/>
        </w:rPr>
        <w:t xml:space="preserve">, </w:t>
      </w:r>
      <w:r w:rsidR="0060076D" w:rsidRPr="00CD3CA0">
        <w:rPr>
          <w:rFonts w:ascii="Aptos" w:hAnsi="Aptos"/>
          <w:color w:val="000000"/>
          <w:sz w:val="22"/>
          <w:szCs w:val="22"/>
        </w:rPr>
        <w:t>North Korea</w:t>
      </w:r>
      <w:r w:rsidR="0060076D">
        <w:rPr>
          <w:rFonts w:ascii="Aptos" w:hAnsi="Aptos"/>
          <w:color w:val="000000"/>
          <w:sz w:val="22"/>
          <w:szCs w:val="22"/>
        </w:rPr>
        <w:t xml:space="preserve">, </w:t>
      </w:r>
      <w:r w:rsidR="0060076D" w:rsidRPr="00CD3CA0">
        <w:rPr>
          <w:rFonts w:ascii="Aptos" w:hAnsi="Aptos"/>
          <w:color w:val="000000"/>
          <w:sz w:val="22"/>
          <w:szCs w:val="22"/>
        </w:rPr>
        <w:t>Russia</w:t>
      </w:r>
      <w:r w:rsidR="0060076D">
        <w:rPr>
          <w:rFonts w:ascii="Aptos" w:hAnsi="Aptos"/>
          <w:color w:val="000000"/>
          <w:sz w:val="22"/>
          <w:szCs w:val="22"/>
        </w:rPr>
        <w:t>,</w:t>
      </w:r>
      <w:r w:rsidR="0060076D" w:rsidRPr="00CD3CA0">
        <w:rPr>
          <w:rFonts w:ascii="Aptos" w:hAnsi="Aptos"/>
          <w:color w:val="000000"/>
          <w:sz w:val="22"/>
          <w:szCs w:val="22"/>
        </w:rPr>
        <w:t xml:space="preserve"> and</w:t>
      </w:r>
      <w:r w:rsidR="0060076D">
        <w:rPr>
          <w:rFonts w:ascii="Aptos" w:hAnsi="Aptos"/>
          <w:color w:val="000000"/>
          <w:sz w:val="22"/>
          <w:szCs w:val="22"/>
        </w:rPr>
        <w:t xml:space="preserve"> </w:t>
      </w:r>
      <w:r w:rsidR="0060076D" w:rsidRPr="00CD3CA0">
        <w:rPr>
          <w:rFonts w:ascii="Aptos" w:hAnsi="Aptos"/>
          <w:color w:val="000000"/>
          <w:sz w:val="22"/>
          <w:szCs w:val="22"/>
        </w:rPr>
        <w:t>Venezuela.</w:t>
      </w:r>
    </w:p>
    <w:p w14:paraId="30071684" w14:textId="16470062" w:rsidR="00432522" w:rsidRPr="00CE4ABB" w:rsidRDefault="00930F0D" w:rsidP="004D05BF">
      <w:pPr>
        <w:spacing w:before="200" w:after="200"/>
        <w:ind w:left="360" w:hanging="360"/>
        <w:rPr>
          <w:rFonts w:ascii="Aptos" w:hAnsi="Aptos" w:cs="Times New Roman"/>
          <w:sz w:val="22"/>
          <w:szCs w:val="22"/>
        </w:rPr>
      </w:pPr>
      <w:r w:rsidRPr="46E807CA">
        <w:rPr>
          <w:rFonts w:ascii="Aptos" w:hAnsi="Aptos"/>
          <w:i/>
          <w:iCs/>
          <w:sz w:val="22"/>
          <w:szCs w:val="22"/>
          <w:u w:val="single"/>
        </w:rPr>
        <w:t>Covered Persons or Entities</w:t>
      </w:r>
      <w:r w:rsidRPr="46E807CA">
        <w:rPr>
          <w:rFonts w:ascii="Aptos" w:hAnsi="Aptos"/>
          <w:sz w:val="22"/>
          <w:szCs w:val="22"/>
        </w:rPr>
        <w:t xml:space="preserve">: </w:t>
      </w:r>
      <w:r w:rsidRPr="46E807CA">
        <w:rPr>
          <w:rFonts w:ascii="Aptos" w:hAnsi="Aptos" w:cs="Times New Roman"/>
          <w:sz w:val="22"/>
          <w:szCs w:val="22"/>
        </w:rPr>
        <w:t>Covered persons or covered entities include</w:t>
      </w:r>
      <w:r w:rsidR="0082786C" w:rsidRPr="46E807CA">
        <w:rPr>
          <w:rFonts w:ascii="Aptos" w:hAnsi="Aptos" w:cs="Times New Roman"/>
          <w:sz w:val="22"/>
          <w:szCs w:val="22"/>
        </w:rPr>
        <w:t xml:space="preserve"> i</w:t>
      </w:r>
      <w:r w:rsidR="00432522" w:rsidRPr="46E807CA">
        <w:rPr>
          <w:rFonts w:ascii="Aptos" w:hAnsi="Aptos" w:cs="Times New Roman"/>
          <w:sz w:val="22"/>
          <w:szCs w:val="22"/>
        </w:rPr>
        <w:t>ndividuals primarily residing in a Country of Concern (CoC)</w:t>
      </w:r>
      <w:r w:rsidR="0082786C" w:rsidRPr="46E807CA">
        <w:rPr>
          <w:rFonts w:ascii="Aptos" w:hAnsi="Aptos" w:cs="Times New Roman"/>
          <w:sz w:val="22"/>
          <w:szCs w:val="22"/>
        </w:rPr>
        <w:t>, e</w:t>
      </w:r>
      <w:r w:rsidR="00432522" w:rsidRPr="46E807CA">
        <w:rPr>
          <w:rFonts w:ascii="Aptos" w:hAnsi="Aptos" w:cs="Times New Roman"/>
          <w:sz w:val="22"/>
          <w:szCs w:val="22"/>
        </w:rPr>
        <w:t>ntities headquartered, chartered, or organized in a CoC</w:t>
      </w:r>
      <w:r w:rsidR="0082786C" w:rsidRPr="46E807CA">
        <w:rPr>
          <w:rFonts w:ascii="Aptos" w:hAnsi="Aptos" w:cs="Times New Roman"/>
          <w:sz w:val="22"/>
          <w:szCs w:val="22"/>
        </w:rPr>
        <w:t>, e</w:t>
      </w:r>
      <w:r w:rsidR="00432522" w:rsidRPr="46E807CA">
        <w:rPr>
          <w:rFonts w:ascii="Aptos" w:hAnsi="Aptos" w:cs="Times New Roman"/>
          <w:sz w:val="22"/>
          <w:szCs w:val="22"/>
        </w:rPr>
        <w:t>ntities majority</w:t>
      </w:r>
      <w:r w:rsidR="39464AA6" w:rsidRPr="46E807CA">
        <w:rPr>
          <w:rFonts w:ascii="Aptos" w:hAnsi="Aptos" w:cs="Times New Roman"/>
          <w:sz w:val="22"/>
          <w:szCs w:val="22"/>
        </w:rPr>
        <w:t xml:space="preserve"> </w:t>
      </w:r>
      <w:r w:rsidR="00432522" w:rsidRPr="46E807CA">
        <w:rPr>
          <w:rFonts w:ascii="Aptos" w:hAnsi="Aptos" w:cs="Times New Roman"/>
          <w:sz w:val="22"/>
          <w:szCs w:val="22"/>
        </w:rPr>
        <w:t xml:space="preserve">owned (≥50%) by </w:t>
      </w:r>
      <w:r w:rsidR="004D05BF" w:rsidRPr="46E807CA">
        <w:rPr>
          <w:rFonts w:ascii="Aptos" w:hAnsi="Aptos" w:cs="Times New Roman"/>
          <w:sz w:val="22"/>
          <w:szCs w:val="22"/>
        </w:rPr>
        <w:t>these individual</w:t>
      </w:r>
      <w:r w:rsidR="00432522" w:rsidRPr="46E807CA">
        <w:rPr>
          <w:rFonts w:ascii="Aptos" w:hAnsi="Aptos" w:cs="Times New Roman"/>
          <w:sz w:val="22"/>
          <w:szCs w:val="22"/>
        </w:rPr>
        <w:t>s or entities</w:t>
      </w:r>
      <w:r w:rsidR="004D05BF" w:rsidRPr="46E807CA">
        <w:rPr>
          <w:rFonts w:ascii="Aptos" w:hAnsi="Aptos" w:cs="Times New Roman"/>
          <w:sz w:val="22"/>
          <w:szCs w:val="22"/>
        </w:rPr>
        <w:t>, i</w:t>
      </w:r>
      <w:r w:rsidR="00432522" w:rsidRPr="46E807CA">
        <w:rPr>
          <w:rFonts w:ascii="Aptos" w:hAnsi="Aptos" w:cs="Times New Roman"/>
          <w:sz w:val="22"/>
          <w:szCs w:val="22"/>
        </w:rPr>
        <w:t xml:space="preserve">ndividuals employed or contracted by </w:t>
      </w:r>
      <w:r w:rsidR="004D05BF" w:rsidRPr="46E807CA">
        <w:rPr>
          <w:rFonts w:ascii="Aptos" w:hAnsi="Aptos" w:cs="Times New Roman"/>
          <w:sz w:val="22"/>
          <w:szCs w:val="22"/>
        </w:rPr>
        <w:t>these persons or entities, i</w:t>
      </w:r>
      <w:r w:rsidR="00432522" w:rsidRPr="46E807CA">
        <w:rPr>
          <w:rFonts w:ascii="Aptos" w:hAnsi="Aptos" w:cs="Times New Roman"/>
          <w:sz w:val="22"/>
          <w:szCs w:val="22"/>
        </w:rPr>
        <w:t>ndividuals or entities designated by the U.S. Attorney General as covered persons</w:t>
      </w:r>
    </w:p>
    <w:p w14:paraId="3841FA25" w14:textId="30FB0421" w:rsidR="00C47ED1" w:rsidRDefault="00C47ED1" w:rsidP="001E200F">
      <w:pPr>
        <w:spacing w:before="200" w:after="200"/>
        <w:rPr>
          <w:rFonts w:ascii="Aptos" w:hAnsi="Aptos"/>
          <w:sz w:val="22"/>
          <w:szCs w:val="22"/>
        </w:rPr>
      </w:pPr>
      <w:r>
        <w:rPr>
          <w:rFonts w:ascii="Aptos" w:hAnsi="Aptos"/>
          <w:i/>
          <w:iCs/>
          <w:sz w:val="22"/>
          <w:szCs w:val="22"/>
          <w:u w:val="single"/>
        </w:rPr>
        <w:t xml:space="preserve">Listed </w:t>
      </w:r>
      <w:r w:rsidRPr="00C47ED1">
        <w:rPr>
          <w:rFonts w:ascii="Aptos" w:hAnsi="Aptos"/>
          <w:i/>
          <w:iCs/>
          <w:sz w:val="22"/>
          <w:szCs w:val="22"/>
          <w:u w:val="single"/>
        </w:rPr>
        <w:t>Identifier</w:t>
      </w:r>
      <w:r>
        <w:rPr>
          <w:rFonts w:ascii="Aptos" w:hAnsi="Aptos"/>
          <w:sz w:val="22"/>
          <w:szCs w:val="22"/>
        </w:rPr>
        <w:t xml:space="preserve"> means </w:t>
      </w:r>
      <w:r w:rsidR="00F14B69" w:rsidRPr="00F14B69">
        <w:rPr>
          <w:rFonts w:ascii="Aptos" w:hAnsi="Aptos"/>
          <w:sz w:val="22"/>
          <w:szCs w:val="22"/>
        </w:rPr>
        <w:t>any piece of data in any of the following data fields:</w:t>
      </w:r>
    </w:p>
    <w:p w14:paraId="1D1A0BDF" w14:textId="77777777" w:rsidR="001E200F" w:rsidRDefault="00F14B69" w:rsidP="001E200F">
      <w:pPr>
        <w:pStyle w:val="ListParagraph"/>
        <w:numPr>
          <w:ilvl w:val="0"/>
          <w:numId w:val="24"/>
        </w:numPr>
        <w:spacing w:before="200" w:after="200"/>
        <w:rPr>
          <w:rFonts w:ascii="Aptos" w:hAnsi="Aptos"/>
          <w:sz w:val="22"/>
          <w:szCs w:val="22"/>
        </w:rPr>
      </w:pPr>
      <w:r w:rsidRPr="001E200F">
        <w:rPr>
          <w:rFonts w:ascii="Aptos" w:hAnsi="Aptos"/>
          <w:sz w:val="22"/>
          <w:szCs w:val="22"/>
        </w:rPr>
        <w:t>Full or truncated government identification or account number (such as a Social Security number, driver's license or State identification number, passport number, or Alien Registration Number</w:t>
      </w:r>
      <w:proofErr w:type="gramStart"/>
      <w:r w:rsidRPr="001E200F">
        <w:rPr>
          <w:rFonts w:ascii="Aptos" w:hAnsi="Aptos"/>
          <w:sz w:val="22"/>
          <w:szCs w:val="22"/>
        </w:rPr>
        <w:t>);</w:t>
      </w:r>
      <w:proofErr w:type="gramEnd"/>
    </w:p>
    <w:p w14:paraId="20D38900" w14:textId="77777777" w:rsidR="001E200F" w:rsidRDefault="00F14B69" w:rsidP="001E200F">
      <w:pPr>
        <w:pStyle w:val="ListParagraph"/>
        <w:numPr>
          <w:ilvl w:val="0"/>
          <w:numId w:val="24"/>
        </w:numPr>
        <w:spacing w:before="200" w:after="200"/>
        <w:rPr>
          <w:rFonts w:ascii="Aptos" w:hAnsi="Aptos"/>
          <w:sz w:val="22"/>
          <w:szCs w:val="22"/>
        </w:rPr>
      </w:pPr>
      <w:r w:rsidRPr="001E200F">
        <w:rPr>
          <w:rFonts w:ascii="Aptos" w:hAnsi="Aptos"/>
          <w:sz w:val="22"/>
          <w:szCs w:val="22"/>
        </w:rPr>
        <w:t xml:space="preserve">Full financial account numbers or personal identification numbers associated with a financial institution or </w:t>
      </w:r>
      <w:proofErr w:type="gramStart"/>
      <w:r w:rsidRPr="001E200F">
        <w:rPr>
          <w:rFonts w:ascii="Aptos" w:hAnsi="Aptos"/>
          <w:sz w:val="22"/>
          <w:szCs w:val="22"/>
        </w:rPr>
        <w:t>financial-services</w:t>
      </w:r>
      <w:proofErr w:type="gramEnd"/>
      <w:r w:rsidRPr="001E200F">
        <w:rPr>
          <w:rFonts w:ascii="Aptos" w:hAnsi="Aptos"/>
          <w:sz w:val="22"/>
          <w:szCs w:val="22"/>
        </w:rPr>
        <w:t xml:space="preserve"> </w:t>
      </w:r>
      <w:proofErr w:type="gramStart"/>
      <w:r w:rsidRPr="001E200F">
        <w:rPr>
          <w:rFonts w:ascii="Aptos" w:hAnsi="Aptos"/>
          <w:sz w:val="22"/>
          <w:szCs w:val="22"/>
        </w:rPr>
        <w:t>company;</w:t>
      </w:r>
      <w:proofErr w:type="gramEnd"/>
    </w:p>
    <w:p w14:paraId="774046EF" w14:textId="77777777" w:rsidR="001E200F" w:rsidRDefault="00F14B69" w:rsidP="001E200F">
      <w:pPr>
        <w:pStyle w:val="ListParagraph"/>
        <w:numPr>
          <w:ilvl w:val="0"/>
          <w:numId w:val="24"/>
        </w:numPr>
        <w:spacing w:before="200" w:after="200"/>
        <w:rPr>
          <w:rFonts w:ascii="Aptos" w:hAnsi="Aptos"/>
          <w:sz w:val="22"/>
          <w:szCs w:val="22"/>
        </w:rPr>
      </w:pPr>
      <w:r w:rsidRPr="001E200F">
        <w:rPr>
          <w:rFonts w:ascii="Aptos" w:hAnsi="Aptos"/>
          <w:sz w:val="22"/>
          <w:szCs w:val="22"/>
        </w:rPr>
        <w:lastRenderedPageBreak/>
        <w:t>Device-based or hardware-based identifier (such as International Mobile Equipment Identity (“IMEI”), Media Access Control (“MAC”) address, or Subscriber Identity Module (“SIM”) card number</w:t>
      </w:r>
      <w:proofErr w:type="gramStart"/>
      <w:r w:rsidRPr="001E200F">
        <w:rPr>
          <w:rFonts w:ascii="Aptos" w:hAnsi="Aptos"/>
          <w:sz w:val="22"/>
          <w:szCs w:val="22"/>
        </w:rPr>
        <w:t>);</w:t>
      </w:r>
      <w:proofErr w:type="gramEnd"/>
    </w:p>
    <w:p w14:paraId="0871ABE3" w14:textId="77777777" w:rsidR="001E200F" w:rsidRDefault="00F14B69" w:rsidP="001E200F">
      <w:pPr>
        <w:pStyle w:val="ListParagraph"/>
        <w:numPr>
          <w:ilvl w:val="0"/>
          <w:numId w:val="24"/>
        </w:numPr>
        <w:spacing w:before="200" w:after="200"/>
        <w:rPr>
          <w:rFonts w:ascii="Aptos" w:hAnsi="Aptos"/>
          <w:sz w:val="22"/>
          <w:szCs w:val="22"/>
        </w:rPr>
      </w:pPr>
      <w:r w:rsidRPr="001E200F">
        <w:rPr>
          <w:rFonts w:ascii="Aptos" w:hAnsi="Aptos"/>
          <w:sz w:val="22"/>
          <w:szCs w:val="22"/>
        </w:rPr>
        <w:t>Demographic or contact data (such as first and last name, birth date, birthplace, ZIP code, residential street or postal address, phone number, email address, or similar public account identifiers</w:t>
      </w:r>
      <w:proofErr w:type="gramStart"/>
      <w:r w:rsidRPr="001E200F">
        <w:rPr>
          <w:rFonts w:ascii="Aptos" w:hAnsi="Aptos"/>
          <w:sz w:val="22"/>
          <w:szCs w:val="22"/>
        </w:rPr>
        <w:t>);</w:t>
      </w:r>
      <w:proofErr w:type="gramEnd"/>
    </w:p>
    <w:p w14:paraId="3224E406" w14:textId="77777777" w:rsidR="001E200F" w:rsidRDefault="00F14B69" w:rsidP="001E200F">
      <w:pPr>
        <w:pStyle w:val="ListParagraph"/>
        <w:numPr>
          <w:ilvl w:val="0"/>
          <w:numId w:val="24"/>
        </w:numPr>
        <w:spacing w:before="200" w:after="200"/>
        <w:rPr>
          <w:rFonts w:ascii="Aptos" w:hAnsi="Aptos"/>
          <w:sz w:val="22"/>
          <w:szCs w:val="22"/>
        </w:rPr>
      </w:pPr>
      <w:r w:rsidRPr="001E200F">
        <w:rPr>
          <w:rFonts w:ascii="Aptos" w:hAnsi="Aptos"/>
          <w:sz w:val="22"/>
          <w:szCs w:val="22"/>
        </w:rPr>
        <w:t>Advertising identifier (such as Google Advertising ID, Apple ID for Advertisers, or other mobile advertising ID (“MAID”)</w:t>
      </w:r>
      <w:proofErr w:type="gramStart"/>
      <w:r w:rsidRPr="001E200F">
        <w:rPr>
          <w:rFonts w:ascii="Aptos" w:hAnsi="Aptos"/>
          <w:sz w:val="22"/>
          <w:szCs w:val="22"/>
        </w:rPr>
        <w:t>);</w:t>
      </w:r>
      <w:proofErr w:type="gramEnd"/>
    </w:p>
    <w:p w14:paraId="3EAAD6B8" w14:textId="77777777" w:rsidR="001E200F" w:rsidRPr="001C039E" w:rsidRDefault="00F14B69" w:rsidP="001E200F">
      <w:pPr>
        <w:pStyle w:val="ListParagraph"/>
        <w:numPr>
          <w:ilvl w:val="0"/>
          <w:numId w:val="24"/>
        </w:numPr>
        <w:spacing w:before="200" w:after="200"/>
        <w:rPr>
          <w:rFonts w:ascii="Aptos" w:hAnsi="Aptos"/>
          <w:sz w:val="22"/>
          <w:szCs w:val="22"/>
        </w:rPr>
      </w:pPr>
      <w:r w:rsidRPr="001C039E">
        <w:rPr>
          <w:rFonts w:ascii="Aptos" w:hAnsi="Aptos"/>
          <w:sz w:val="22"/>
          <w:szCs w:val="22"/>
        </w:rPr>
        <w:t>Account-authentication data (such as account username, account password, or an answer to security questions</w:t>
      </w:r>
      <w:proofErr w:type="gramStart"/>
      <w:r w:rsidRPr="001C039E">
        <w:rPr>
          <w:rFonts w:ascii="Aptos" w:hAnsi="Aptos"/>
          <w:sz w:val="22"/>
          <w:szCs w:val="22"/>
        </w:rPr>
        <w:t>);</w:t>
      </w:r>
      <w:proofErr w:type="gramEnd"/>
    </w:p>
    <w:p w14:paraId="3D7034F4" w14:textId="77777777" w:rsidR="001E200F" w:rsidRPr="001C039E" w:rsidRDefault="00F14B69" w:rsidP="001E200F">
      <w:pPr>
        <w:pStyle w:val="ListParagraph"/>
        <w:numPr>
          <w:ilvl w:val="0"/>
          <w:numId w:val="24"/>
        </w:numPr>
        <w:spacing w:before="200" w:after="200"/>
        <w:rPr>
          <w:rFonts w:ascii="Aptos" w:hAnsi="Aptos"/>
          <w:sz w:val="22"/>
          <w:szCs w:val="22"/>
        </w:rPr>
      </w:pPr>
      <w:r w:rsidRPr="001C039E">
        <w:rPr>
          <w:rFonts w:ascii="Aptos" w:hAnsi="Aptos"/>
          <w:sz w:val="22"/>
          <w:szCs w:val="22"/>
        </w:rPr>
        <w:t>Network-based identifier (such as Internet Protocol (“IP”) address or cookie data); or</w:t>
      </w:r>
    </w:p>
    <w:p w14:paraId="2BDE58A1" w14:textId="77777777" w:rsidR="001C039E" w:rsidRDefault="00F14B69" w:rsidP="001E200F">
      <w:pPr>
        <w:pStyle w:val="ListParagraph"/>
        <w:numPr>
          <w:ilvl w:val="0"/>
          <w:numId w:val="24"/>
        </w:numPr>
        <w:spacing w:before="200" w:after="200"/>
        <w:rPr>
          <w:rFonts w:ascii="Aptos" w:hAnsi="Aptos"/>
          <w:sz w:val="22"/>
          <w:szCs w:val="22"/>
        </w:rPr>
      </w:pPr>
      <w:r w:rsidRPr="001C039E">
        <w:rPr>
          <w:rFonts w:ascii="Aptos" w:hAnsi="Aptos"/>
          <w:sz w:val="22"/>
          <w:szCs w:val="22"/>
        </w:rPr>
        <w:t>Call-detail data (such as Customer Proprietary Network Information (“CPNI”)).</w:t>
      </w:r>
    </w:p>
    <w:p w14:paraId="354AF25C" w14:textId="50DDCE73" w:rsidR="00063D04" w:rsidRDefault="004B2A59" w:rsidP="00063D04">
      <w:pPr>
        <w:spacing w:before="200" w:after="200"/>
        <w:ind w:left="360" w:hanging="360"/>
        <w:rPr>
          <w:rFonts w:ascii="Aptos" w:hAnsi="Aptos"/>
          <w:sz w:val="22"/>
          <w:szCs w:val="22"/>
        </w:rPr>
      </w:pPr>
      <w:r w:rsidRPr="004F7F20">
        <w:rPr>
          <w:rFonts w:ascii="Aptos" w:hAnsi="Aptos"/>
          <w:i/>
          <w:iCs/>
          <w:sz w:val="22"/>
          <w:szCs w:val="22"/>
          <w:u w:val="single"/>
        </w:rPr>
        <w:t xml:space="preserve">Covered </w:t>
      </w:r>
      <w:r w:rsidR="00D3251D">
        <w:rPr>
          <w:rFonts w:ascii="Aptos" w:hAnsi="Aptos"/>
          <w:i/>
          <w:iCs/>
          <w:sz w:val="22"/>
          <w:szCs w:val="22"/>
          <w:u w:val="single"/>
        </w:rPr>
        <w:t xml:space="preserve">Personal </w:t>
      </w:r>
      <w:r w:rsidR="001C039E" w:rsidRPr="004F7F20">
        <w:rPr>
          <w:rFonts w:ascii="Aptos" w:hAnsi="Aptos"/>
          <w:i/>
          <w:iCs/>
          <w:sz w:val="22"/>
          <w:szCs w:val="22"/>
          <w:u w:val="single"/>
        </w:rPr>
        <w:t>I</w:t>
      </w:r>
      <w:r w:rsidRPr="004F7F20">
        <w:rPr>
          <w:rFonts w:ascii="Aptos" w:hAnsi="Aptos"/>
          <w:i/>
          <w:iCs/>
          <w:sz w:val="22"/>
          <w:szCs w:val="22"/>
          <w:u w:val="single"/>
        </w:rPr>
        <w:t>dentifiers</w:t>
      </w:r>
      <w:r w:rsidRPr="004F7F20">
        <w:rPr>
          <w:rFonts w:ascii="Aptos" w:hAnsi="Aptos"/>
          <w:sz w:val="22"/>
          <w:szCs w:val="22"/>
        </w:rPr>
        <w:t xml:space="preserve"> </w:t>
      </w:r>
      <w:r w:rsidR="004F7F20" w:rsidRPr="004F7F20">
        <w:rPr>
          <w:rFonts w:ascii="Aptos" w:hAnsi="Aptos"/>
          <w:sz w:val="22"/>
          <w:szCs w:val="22"/>
        </w:rPr>
        <w:t>mean any identifier listed above</w:t>
      </w:r>
      <w:r w:rsidR="00377439">
        <w:rPr>
          <w:rFonts w:ascii="Aptos" w:hAnsi="Aptos"/>
          <w:sz w:val="22"/>
          <w:szCs w:val="22"/>
        </w:rPr>
        <w:t xml:space="preserve"> when it is combined</w:t>
      </w:r>
      <w:r w:rsidR="001C039E" w:rsidRPr="004F7F20">
        <w:rPr>
          <w:rFonts w:ascii="Aptos" w:hAnsi="Aptos"/>
          <w:sz w:val="22"/>
          <w:szCs w:val="22"/>
        </w:rPr>
        <w:t xml:space="preserve"> with any other listed identifie</w:t>
      </w:r>
      <w:r w:rsidR="00D90966">
        <w:rPr>
          <w:rFonts w:ascii="Aptos" w:hAnsi="Aptos"/>
          <w:sz w:val="22"/>
          <w:szCs w:val="22"/>
        </w:rPr>
        <w:t xml:space="preserve">r or when it is combined </w:t>
      </w:r>
      <w:r w:rsidR="001C039E" w:rsidRPr="004F7F20">
        <w:rPr>
          <w:rFonts w:ascii="Aptos" w:hAnsi="Aptos"/>
          <w:sz w:val="22"/>
          <w:szCs w:val="22"/>
        </w:rPr>
        <w:t>with other data that is disclosed by a transacting party pursuant to the transaction such that the listed identifier is linked or linkable to other listed identifiers or to other sensitive personal data.</w:t>
      </w:r>
    </w:p>
    <w:p w14:paraId="08091E51" w14:textId="70F655EA" w:rsidR="001C039E" w:rsidRDefault="00D90966" w:rsidP="00063D04">
      <w:pPr>
        <w:spacing w:before="200" w:after="200"/>
        <w:ind w:left="360"/>
        <w:rPr>
          <w:rFonts w:ascii="Aptos" w:hAnsi="Aptos"/>
          <w:sz w:val="22"/>
          <w:szCs w:val="22"/>
        </w:rPr>
      </w:pPr>
      <w:r>
        <w:rPr>
          <w:rFonts w:ascii="Aptos" w:hAnsi="Aptos"/>
          <w:sz w:val="22"/>
          <w:szCs w:val="22"/>
        </w:rPr>
        <w:t>Covered Identifiers does not include d</w:t>
      </w:r>
      <w:r w:rsidRPr="00D90966">
        <w:rPr>
          <w:rFonts w:ascii="Aptos" w:hAnsi="Aptos"/>
          <w:sz w:val="22"/>
          <w:szCs w:val="22"/>
        </w:rPr>
        <w:t>emographic or contact data that is linked only to other demographic or contact data (such as first and last name, birthplace, ZIP code, residential street or postal address, phone number, and email address and similar public account identifiers)</w:t>
      </w:r>
      <w:r>
        <w:rPr>
          <w:rFonts w:ascii="Aptos" w:hAnsi="Aptos"/>
          <w:sz w:val="22"/>
          <w:szCs w:val="22"/>
        </w:rPr>
        <w:t xml:space="preserve">, </w:t>
      </w:r>
      <w:r w:rsidRPr="00D90966">
        <w:rPr>
          <w:rFonts w:ascii="Aptos" w:hAnsi="Aptos"/>
          <w:sz w:val="22"/>
          <w:szCs w:val="22"/>
        </w:rPr>
        <w:t>and</w:t>
      </w:r>
      <w:r w:rsidR="00B26679">
        <w:rPr>
          <w:rFonts w:ascii="Aptos" w:hAnsi="Aptos"/>
          <w:sz w:val="22"/>
          <w:szCs w:val="22"/>
        </w:rPr>
        <w:t xml:space="preserve"> a</w:t>
      </w:r>
      <w:r w:rsidRPr="00D90966">
        <w:rPr>
          <w:rFonts w:ascii="Aptos" w:hAnsi="Aptos"/>
          <w:sz w:val="22"/>
          <w:szCs w:val="22"/>
        </w:rPr>
        <w:t xml:space="preserve"> network-based identifier, account-authentication data, or call-detail data that is linked only to other network-based identifier, account-authentication data, or call-detail data as necessary for the provision of telecommunications, networking, or similar service.</w:t>
      </w:r>
    </w:p>
    <w:p w14:paraId="535630D9" w14:textId="50EE99D1" w:rsidR="00E64FD5" w:rsidRDefault="00E64FD5" w:rsidP="00E64FD5">
      <w:pPr>
        <w:spacing w:before="200" w:after="200"/>
        <w:rPr>
          <w:rFonts w:ascii="Aptos" w:hAnsi="Aptos"/>
          <w:sz w:val="22"/>
          <w:szCs w:val="22"/>
        </w:rPr>
      </w:pPr>
      <w:r>
        <w:rPr>
          <w:rFonts w:ascii="Aptos" w:hAnsi="Aptos"/>
          <w:i/>
          <w:iCs/>
          <w:sz w:val="22"/>
          <w:szCs w:val="22"/>
          <w:u w:val="single"/>
        </w:rPr>
        <w:t>Covered Data</w:t>
      </w:r>
      <w:r>
        <w:rPr>
          <w:rFonts w:ascii="Aptos" w:hAnsi="Aptos"/>
          <w:sz w:val="22"/>
          <w:szCs w:val="22"/>
        </w:rPr>
        <w:t xml:space="preserve"> means </w:t>
      </w:r>
      <w:r w:rsidR="001B4CC0">
        <w:rPr>
          <w:rFonts w:ascii="Aptos" w:hAnsi="Aptos"/>
          <w:sz w:val="22"/>
          <w:szCs w:val="22"/>
        </w:rPr>
        <w:t xml:space="preserve">data that contains </w:t>
      </w:r>
      <w:r w:rsidR="00D3251D">
        <w:rPr>
          <w:rFonts w:ascii="Aptos" w:hAnsi="Aptos"/>
          <w:sz w:val="22"/>
          <w:szCs w:val="22"/>
        </w:rPr>
        <w:t xml:space="preserve">any of the following: (i) </w:t>
      </w:r>
      <w:r w:rsidR="001B4CC0">
        <w:rPr>
          <w:rFonts w:ascii="Aptos" w:hAnsi="Aptos"/>
          <w:sz w:val="22"/>
          <w:szCs w:val="22"/>
        </w:rPr>
        <w:t xml:space="preserve">covered </w:t>
      </w:r>
      <w:r w:rsidR="00D3251D">
        <w:rPr>
          <w:rFonts w:ascii="Aptos" w:hAnsi="Aptos"/>
          <w:sz w:val="22"/>
          <w:szCs w:val="22"/>
        </w:rPr>
        <w:t xml:space="preserve">personal </w:t>
      </w:r>
      <w:r w:rsidR="001B4CC0">
        <w:rPr>
          <w:rFonts w:ascii="Aptos" w:hAnsi="Aptos"/>
          <w:sz w:val="22"/>
          <w:szCs w:val="22"/>
        </w:rPr>
        <w:t>identifiers</w:t>
      </w:r>
      <w:r w:rsidR="001E0DD1">
        <w:rPr>
          <w:rFonts w:ascii="Aptos" w:hAnsi="Aptos"/>
          <w:sz w:val="22"/>
          <w:szCs w:val="22"/>
        </w:rPr>
        <w:t xml:space="preserve">, </w:t>
      </w:r>
      <w:r w:rsidR="00D3251D">
        <w:rPr>
          <w:rFonts w:ascii="Aptos" w:hAnsi="Aptos"/>
          <w:sz w:val="22"/>
          <w:szCs w:val="22"/>
        </w:rPr>
        <w:t xml:space="preserve">(ii) </w:t>
      </w:r>
      <w:r w:rsidR="001E0DD1">
        <w:rPr>
          <w:rFonts w:ascii="Aptos" w:hAnsi="Aptos"/>
          <w:sz w:val="22"/>
          <w:szCs w:val="22"/>
        </w:rPr>
        <w:t xml:space="preserve">financial or personal data, </w:t>
      </w:r>
      <w:r w:rsidR="00D3251D">
        <w:rPr>
          <w:rFonts w:ascii="Aptos" w:hAnsi="Aptos"/>
          <w:sz w:val="22"/>
          <w:szCs w:val="22"/>
        </w:rPr>
        <w:t>(iii) precise geolocation, biometric identifiers, non-genomic human ‘omic data, or (iv) human genomic data</w:t>
      </w:r>
      <w:r w:rsidR="001B4CC0">
        <w:rPr>
          <w:rFonts w:ascii="Aptos" w:hAnsi="Aptos"/>
          <w:sz w:val="22"/>
          <w:szCs w:val="22"/>
        </w:rPr>
        <w:t>.</w:t>
      </w:r>
    </w:p>
    <w:p w14:paraId="58CA76C7" w14:textId="7AF208A1" w:rsidR="001B4CC0" w:rsidRPr="001B4CC0" w:rsidRDefault="001B4CC0" w:rsidP="00E64FD5">
      <w:pPr>
        <w:spacing w:before="200" w:after="200"/>
        <w:rPr>
          <w:rFonts w:ascii="Aptos" w:hAnsi="Aptos"/>
          <w:sz w:val="22"/>
          <w:szCs w:val="22"/>
        </w:rPr>
      </w:pPr>
      <w:r>
        <w:rPr>
          <w:rFonts w:ascii="Aptos" w:hAnsi="Aptos"/>
          <w:i/>
          <w:iCs/>
          <w:sz w:val="22"/>
          <w:szCs w:val="22"/>
          <w:u w:val="single"/>
        </w:rPr>
        <w:t>Bulk Data</w:t>
      </w:r>
      <w:r>
        <w:rPr>
          <w:rFonts w:ascii="Aptos" w:hAnsi="Aptos"/>
          <w:sz w:val="22"/>
          <w:szCs w:val="22"/>
        </w:rPr>
        <w:t xml:space="preserve"> means covered data meeting the bulk thresholds.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B26679" w14:paraId="412CC951" w14:textId="77777777">
        <w:tc>
          <w:tcPr>
            <w:tcW w:w="2155" w:type="dxa"/>
            <w:shd w:val="clear" w:color="auto" w:fill="FFD200"/>
          </w:tcPr>
          <w:p w14:paraId="495446CC" w14:textId="77777777" w:rsidR="00B26679" w:rsidRPr="00AC4323" w:rsidRDefault="00B26679">
            <w:pPr>
              <w:rPr>
                <w:rFonts w:ascii="Aptos" w:hAnsi="Aptos" w:cs="Times New Roman"/>
                <w:sz w:val="4"/>
                <w:szCs w:val="4"/>
              </w:rPr>
            </w:pPr>
          </w:p>
        </w:tc>
      </w:tr>
      <w:tr w:rsidR="00B26679" w:rsidRPr="00AC4323" w14:paraId="59313FF0" w14:textId="77777777">
        <w:tc>
          <w:tcPr>
            <w:tcW w:w="2155" w:type="dxa"/>
            <w:shd w:val="clear" w:color="auto" w:fill="154733"/>
          </w:tcPr>
          <w:p w14:paraId="6E33EDA8" w14:textId="77777777" w:rsidR="00B26679" w:rsidRPr="00AC4323" w:rsidRDefault="00B26679">
            <w:pPr>
              <w:rPr>
                <w:rFonts w:ascii="Aptos" w:hAnsi="Aptos" w:cs="Times New Roman"/>
                <w:sz w:val="10"/>
                <w:szCs w:val="10"/>
              </w:rPr>
            </w:pPr>
          </w:p>
        </w:tc>
      </w:tr>
    </w:tbl>
    <w:p w14:paraId="5FD702A4" w14:textId="0AD32842" w:rsidR="009A23ED" w:rsidRPr="00C42B0E" w:rsidRDefault="009A23ED" w:rsidP="00B71F4C">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Part I</w:t>
      </w:r>
      <w:r w:rsidR="00E37AA8">
        <w:rPr>
          <w:rFonts w:ascii="Lora" w:hAnsi="Lora" w:cs="Times New Roman"/>
          <w:color w:val="134733"/>
        </w:rPr>
        <w:t>I</w:t>
      </w:r>
      <w:r w:rsidRPr="00C42B0E">
        <w:rPr>
          <w:rFonts w:ascii="Lora" w:hAnsi="Lora" w:cs="Times New Roman"/>
          <w:color w:val="134733"/>
        </w:rPr>
        <w:t xml:space="preserve">: </w:t>
      </w:r>
      <w:r w:rsidR="00E37AA8">
        <w:rPr>
          <w:rFonts w:ascii="Lora" w:hAnsi="Lora" w:cs="Times New Roman"/>
          <w:color w:val="134733"/>
        </w:rPr>
        <w:t>Bulk Data Thresholds</w:t>
      </w:r>
    </w:p>
    <w:p w14:paraId="044E0B6F" w14:textId="77777777" w:rsidR="009F14EF" w:rsidRPr="00CE4ABB" w:rsidRDefault="009F14EF" w:rsidP="00CE4ABB">
      <w:pPr>
        <w:spacing w:before="200" w:after="200"/>
        <w:jc w:val="both"/>
        <w:rPr>
          <w:rFonts w:ascii="Aptos" w:hAnsi="Aptos" w:cs="Times New Roman"/>
          <w:sz w:val="22"/>
          <w:szCs w:val="22"/>
        </w:rPr>
      </w:pPr>
      <w:r w:rsidRPr="00CE4ABB">
        <w:rPr>
          <w:rFonts w:ascii="Aptos" w:hAnsi="Aptos" w:cs="Times New Roman"/>
          <w:sz w:val="22"/>
          <w:szCs w:val="22"/>
        </w:rPr>
        <w:t xml:space="preserve">The Rule restricts making </w:t>
      </w:r>
      <w:r w:rsidRPr="00CE4ABB">
        <w:rPr>
          <w:rFonts w:ascii="Aptos" w:hAnsi="Aptos" w:cs="Times New Roman"/>
          <w:i/>
          <w:iCs/>
          <w:sz w:val="22"/>
          <w:szCs w:val="22"/>
        </w:rPr>
        <w:t>bulk</w:t>
      </w:r>
      <w:r w:rsidRPr="00CE4ABB">
        <w:rPr>
          <w:rFonts w:ascii="Aptos" w:hAnsi="Aptos" w:cs="Times New Roman"/>
          <w:sz w:val="22"/>
          <w:szCs w:val="22"/>
        </w:rPr>
        <w:t xml:space="preserve"> U.S. sensitive personal data accessible to certain foreign parties and individuals designated as “covered persons.” “Bulk” refers to transactions that exceed the following thresholds </w:t>
      </w:r>
      <w:r w:rsidRPr="00517D25">
        <w:rPr>
          <w:rFonts w:ascii="Aptos" w:hAnsi="Aptos" w:cs="Times New Roman"/>
          <w:sz w:val="22"/>
          <w:szCs w:val="22"/>
        </w:rPr>
        <w:t>within a rolling 12</w:t>
      </w:r>
      <w:r w:rsidRPr="00517D25">
        <w:rPr>
          <w:rFonts w:ascii="Aptos" w:hAnsi="Aptos" w:cs="Times New Roman"/>
          <w:sz w:val="22"/>
          <w:szCs w:val="22"/>
        </w:rPr>
        <w:noBreakHyphen/>
        <w:t>month period between the same parties:</w:t>
      </w:r>
    </w:p>
    <w:tbl>
      <w:tblPr>
        <w:tblW w:w="0" w:type="auto"/>
        <w:tblCellSpacing w:w="15" w:type="dxa"/>
        <w:tblInd w:w="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5220"/>
        <w:gridCol w:w="2790"/>
      </w:tblGrid>
      <w:tr w:rsidR="009F14EF" w:rsidRPr="00AD3E2E" w14:paraId="7E7C855D" w14:textId="77777777" w:rsidTr="001537B9">
        <w:trPr>
          <w:tblHeader/>
          <w:tblCellSpacing w:w="15" w:type="dxa"/>
        </w:trPr>
        <w:tc>
          <w:tcPr>
            <w:tcW w:w="5175" w:type="dxa"/>
            <w:vAlign w:val="center"/>
            <w:hideMark/>
          </w:tcPr>
          <w:p w14:paraId="4119413E" w14:textId="77777777" w:rsidR="009F14EF" w:rsidRPr="00AD3E2E" w:rsidRDefault="009F14EF" w:rsidP="006F417F">
            <w:pPr>
              <w:jc w:val="center"/>
              <w:rPr>
                <w:rFonts w:ascii="Aptos" w:hAnsi="Aptos" w:cs="Times New Roman"/>
                <w:b/>
                <w:bCs/>
                <w:sz w:val="22"/>
                <w:szCs w:val="22"/>
              </w:rPr>
            </w:pPr>
            <w:r w:rsidRPr="00AD3E2E">
              <w:rPr>
                <w:rFonts w:ascii="Aptos" w:hAnsi="Aptos" w:cs="Times New Roman"/>
                <w:b/>
                <w:bCs/>
                <w:sz w:val="22"/>
                <w:szCs w:val="22"/>
              </w:rPr>
              <w:t>Data Type</w:t>
            </w:r>
          </w:p>
        </w:tc>
        <w:tc>
          <w:tcPr>
            <w:tcW w:w="2745" w:type="dxa"/>
            <w:vAlign w:val="center"/>
            <w:hideMark/>
          </w:tcPr>
          <w:p w14:paraId="00E8CFE7" w14:textId="77777777" w:rsidR="009F14EF" w:rsidRPr="00AD3E2E" w:rsidRDefault="009F14EF" w:rsidP="006F417F">
            <w:pPr>
              <w:jc w:val="center"/>
              <w:rPr>
                <w:rFonts w:ascii="Aptos" w:hAnsi="Aptos" w:cs="Times New Roman"/>
                <w:b/>
                <w:bCs/>
                <w:sz w:val="22"/>
                <w:szCs w:val="22"/>
              </w:rPr>
            </w:pPr>
            <w:r w:rsidRPr="00AD3E2E">
              <w:rPr>
                <w:rFonts w:ascii="Aptos" w:hAnsi="Aptos" w:cs="Times New Roman"/>
                <w:b/>
                <w:bCs/>
                <w:sz w:val="22"/>
                <w:szCs w:val="22"/>
              </w:rPr>
              <w:t>Bulk Threshold</w:t>
            </w:r>
          </w:p>
        </w:tc>
      </w:tr>
      <w:tr w:rsidR="009F14EF" w:rsidRPr="00AD3E2E" w14:paraId="1DE1986D" w14:textId="77777777" w:rsidTr="001537B9">
        <w:trPr>
          <w:tblCellSpacing w:w="15" w:type="dxa"/>
        </w:trPr>
        <w:tc>
          <w:tcPr>
            <w:tcW w:w="5175" w:type="dxa"/>
            <w:vAlign w:val="center"/>
            <w:hideMark/>
          </w:tcPr>
          <w:p w14:paraId="0A1546B0" w14:textId="59D11E1D" w:rsidR="006F417F" w:rsidRPr="00CE4ABB" w:rsidRDefault="009F14EF" w:rsidP="006F417F">
            <w:pPr>
              <w:rPr>
                <w:rFonts w:ascii="Aptos" w:hAnsi="Aptos" w:cs="Times New Roman"/>
                <w:sz w:val="22"/>
                <w:szCs w:val="22"/>
              </w:rPr>
            </w:pPr>
            <w:r w:rsidRPr="00CE4ABB">
              <w:rPr>
                <w:rFonts w:ascii="Aptos" w:hAnsi="Aptos" w:cs="Times New Roman"/>
                <w:sz w:val="22"/>
                <w:szCs w:val="22"/>
              </w:rPr>
              <w:t>Covered personal identifiers</w:t>
            </w:r>
          </w:p>
        </w:tc>
        <w:tc>
          <w:tcPr>
            <w:tcW w:w="2745" w:type="dxa"/>
            <w:vAlign w:val="center"/>
            <w:hideMark/>
          </w:tcPr>
          <w:p w14:paraId="6D457D37" w14:textId="77777777" w:rsidR="009F14EF" w:rsidRPr="00AD3E2E" w:rsidRDefault="009F14EF" w:rsidP="006F417F">
            <w:pPr>
              <w:jc w:val="center"/>
              <w:rPr>
                <w:rFonts w:ascii="Aptos" w:hAnsi="Aptos" w:cs="Times New Roman"/>
                <w:sz w:val="22"/>
                <w:szCs w:val="22"/>
              </w:rPr>
            </w:pPr>
            <w:r w:rsidRPr="00AD3E2E">
              <w:rPr>
                <w:rFonts w:ascii="Aptos" w:hAnsi="Aptos" w:cs="Times New Roman"/>
                <w:sz w:val="22"/>
                <w:szCs w:val="22"/>
              </w:rPr>
              <w:t>100,000 U.S. persons</w:t>
            </w:r>
          </w:p>
        </w:tc>
      </w:tr>
      <w:tr w:rsidR="009F14EF" w:rsidRPr="00AD3E2E" w14:paraId="2C357F93" w14:textId="77777777" w:rsidTr="001537B9">
        <w:trPr>
          <w:tblCellSpacing w:w="15" w:type="dxa"/>
        </w:trPr>
        <w:tc>
          <w:tcPr>
            <w:tcW w:w="5175" w:type="dxa"/>
            <w:vAlign w:val="center"/>
            <w:hideMark/>
          </w:tcPr>
          <w:p w14:paraId="72A14138" w14:textId="77777777" w:rsidR="009F14EF" w:rsidRPr="00CE4ABB" w:rsidRDefault="009F14EF" w:rsidP="006F417F">
            <w:pPr>
              <w:rPr>
                <w:rFonts w:ascii="Aptos" w:hAnsi="Aptos" w:cs="Times New Roman"/>
                <w:sz w:val="22"/>
                <w:szCs w:val="22"/>
              </w:rPr>
            </w:pPr>
            <w:r w:rsidRPr="00CE4ABB">
              <w:rPr>
                <w:rFonts w:ascii="Aptos" w:hAnsi="Aptos" w:cs="Times New Roman"/>
                <w:sz w:val="22"/>
                <w:szCs w:val="22"/>
              </w:rPr>
              <w:t>Financial or personal health data</w:t>
            </w:r>
          </w:p>
        </w:tc>
        <w:tc>
          <w:tcPr>
            <w:tcW w:w="2745" w:type="dxa"/>
            <w:vAlign w:val="center"/>
            <w:hideMark/>
          </w:tcPr>
          <w:p w14:paraId="2F500751" w14:textId="77777777" w:rsidR="009F14EF" w:rsidRPr="00AD3E2E" w:rsidRDefault="009F14EF" w:rsidP="006F417F">
            <w:pPr>
              <w:jc w:val="center"/>
              <w:rPr>
                <w:rFonts w:ascii="Aptos" w:hAnsi="Aptos" w:cs="Times New Roman"/>
                <w:sz w:val="22"/>
                <w:szCs w:val="22"/>
              </w:rPr>
            </w:pPr>
            <w:r w:rsidRPr="00AD3E2E">
              <w:rPr>
                <w:rFonts w:ascii="Aptos" w:hAnsi="Aptos" w:cs="Times New Roman"/>
                <w:sz w:val="22"/>
                <w:szCs w:val="22"/>
              </w:rPr>
              <w:t>10,000 U.S. persons</w:t>
            </w:r>
          </w:p>
        </w:tc>
      </w:tr>
      <w:tr w:rsidR="009F14EF" w:rsidRPr="00AD3E2E" w14:paraId="0725AD69" w14:textId="77777777" w:rsidTr="001537B9">
        <w:trPr>
          <w:tblCellSpacing w:w="15" w:type="dxa"/>
        </w:trPr>
        <w:tc>
          <w:tcPr>
            <w:tcW w:w="5175" w:type="dxa"/>
            <w:vAlign w:val="center"/>
            <w:hideMark/>
          </w:tcPr>
          <w:p w14:paraId="1B6BF961" w14:textId="77777777" w:rsidR="009F14EF" w:rsidRPr="00CE4ABB" w:rsidRDefault="009F14EF" w:rsidP="006F417F">
            <w:pPr>
              <w:rPr>
                <w:rFonts w:ascii="Aptos" w:hAnsi="Aptos" w:cs="Times New Roman"/>
                <w:sz w:val="22"/>
                <w:szCs w:val="22"/>
              </w:rPr>
            </w:pPr>
            <w:r w:rsidRPr="00CE4ABB">
              <w:rPr>
                <w:rFonts w:ascii="Aptos" w:hAnsi="Aptos" w:cs="Times New Roman"/>
                <w:sz w:val="22"/>
                <w:szCs w:val="22"/>
              </w:rPr>
              <w:t>Precise geolocation, biometric identifiers, non</w:t>
            </w:r>
            <w:r w:rsidRPr="00CE4ABB">
              <w:rPr>
                <w:rFonts w:ascii="Aptos" w:hAnsi="Aptos" w:cs="Times New Roman"/>
                <w:sz w:val="22"/>
                <w:szCs w:val="22"/>
              </w:rPr>
              <w:noBreakHyphen/>
              <w:t>genomic human ’omic data</w:t>
            </w:r>
          </w:p>
        </w:tc>
        <w:tc>
          <w:tcPr>
            <w:tcW w:w="2745" w:type="dxa"/>
            <w:vAlign w:val="center"/>
            <w:hideMark/>
          </w:tcPr>
          <w:p w14:paraId="184AC2F3" w14:textId="77777777" w:rsidR="009F14EF" w:rsidRPr="00AD3E2E" w:rsidRDefault="009F14EF" w:rsidP="006F417F">
            <w:pPr>
              <w:jc w:val="center"/>
              <w:rPr>
                <w:rFonts w:ascii="Aptos" w:hAnsi="Aptos" w:cs="Times New Roman"/>
                <w:sz w:val="22"/>
                <w:szCs w:val="22"/>
              </w:rPr>
            </w:pPr>
            <w:r w:rsidRPr="00AD3E2E">
              <w:rPr>
                <w:rFonts w:ascii="Aptos" w:hAnsi="Aptos" w:cs="Times New Roman"/>
                <w:sz w:val="22"/>
                <w:szCs w:val="22"/>
              </w:rPr>
              <w:t>1,000 U.S. persons</w:t>
            </w:r>
          </w:p>
        </w:tc>
      </w:tr>
      <w:tr w:rsidR="009F14EF" w:rsidRPr="00CE4ABB" w14:paraId="31B184F8" w14:textId="77777777" w:rsidTr="001537B9">
        <w:trPr>
          <w:tblCellSpacing w:w="15" w:type="dxa"/>
        </w:trPr>
        <w:tc>
          <w:tcPr>
            <w:tcW w:w="5175" w:type="dxa"/>
            <w:vAlign w:val="center"/>
            <w:hideMark/>
          </w:tcPr>
          <w:p w14:paraId="4B7A5369" w14:textId="77777777" w:rsidR="009F14EF" w:rsidRPr="00CE4ABB" w:rsidRDefault="009F14EF" w:rsidP="006F417F">
            <w:pPr>
              <w:rPr>
                <w:rFonts w:ascii="Aptos" w:hAnsi="Aptos" w:cs="Times New Roman"/>
                <w:sz w:val="22"/>
                <w:szCs w:val="22"/>
              </w:rPr>
            </w:pPr>
            <w:r w:rsidRPr="00CE4ABB">
              <w:rPr>
                <w:rFonts w:ascii="Aptos" w:hAnsi="Aptos" w:cs="Times New Roman"/>
                <w:sz w:val="22"/>
                <w:szCs w:val="22"/>
              </w:rPr>
              <w:t>Human genomic data</w:t>
            </w:r>
          </w:p>
        </w:tc>
        <w:tc>
          <w:tcPr>
            <w:tcW w:w="2745" w:type="dxa"/>
            <w:vAlign w:val="center"/>
            <w:hideMark/>
          </w:tcPr>
          <w:p w14:paraId="2EDEBAD0" w14:textId="77777777" w:rsidR="009F14EF" w:rsidRPr="00AD3E2E" w:rsidRDefault="009F14EF" w:rsidP="006F417F">
            <w:pPr>
              <w:jc w:val="center"/>
              <w:rPr>
                <w:rFonts w:ascii="Aptos" w:hAnsi="Aptos" w:cs="Times New Roman"/>
                <w:sz w:val="22"/>
                <w:szCs w:val="22"/>
              </w:rPr>
            </w:pPr>
            <w:r w:rsidRPr="00AD3E2E">
              <w:rPr>
                <w:rFonts w:ascii="Aptos" w:hAnsi="Aptos" w:cs="Times New Roman"/>
                <w:sz w:val="22"/>
                <w:szCs w:val="22"/>
              </w:rPr>
              <w:t>100 U.S. persons</w:t>
            </w:r>
          </w:p>
        </w:tc>
      </w:tr>
    </w:tbl>
    <w:p w14:paraId="77143865" w14:textId="1872801A" w:rsidR="00D17D28" w:rsidRPr="001B4CC0" w:rsidRDefault="00FE3A0F" w:rsidP="00864B30">
      <w:pPr>
        <w:spacing w:before="200" w:after="200"/>
        <w:jc w:val="center"/>
        <w:rPr>
          <w:rFonts w:ascii="Aptos" w:hAnsi="Aptos"/>
          <w:sz w:val="22"/>
          <w:szCs w:val="22"/>
        </w:rPr>
      </w:pPr>
      <w:r>
        <w:rPr>
          <w:rFonts w:ascii="Aptos" w:hAnsi="Aptos"/>
          <w:noProof/>
          <w:sz w:val="22"/>
          <w:szCs w:val="22"/>
        </w:rPr>
        <w:lastRenderedPageBreak/>
        <mc:AlternateContent>
          <mc:Choice Requires="wps">
            <w:drawing>
              <wp:inline distT="0" distB="0" distL="0" distR="0" wp14:anchorId="7BA91685" wp14:editId="382E6043">
                <wp:extent cx="4868920" cy="871720"/>
                <wp:effectExtent l="12700" t="12700" r="8255" b="17780"/>
                <wp:docPr id="1917748400" name="Text Box 1"/>
                <wp:cNvGraphicFramePr/>
                <a:graphic xmlns:a="http://schemas.openxmlformats.org/drawingml/2006/main">
                  <a:graphicData uri="http://schemas.microsoft.com/office/word/2010/wordprocessingShape">
                    <wps:wsp>
                      <wps:cNvSpPr txBox="1"/>
                      <wps:spPr>
                        <a:xfrm>
                          <a:off x="0" y="0"/>
                          <a:ext cx="4868920" cy="871720"/>
                        </a:xfrm>
                        <a:prstGeom prst="rect">
                          <a:avLst/>
                        </a:prstGeom>
                        <a:solidFill>
                          <a:schemeClr val="bg1"/>
                        </a:solidFill>
                        <a:ln w="25400">
                          <a:solidFill>
                            <a:schemeClr val="accent1"/>
                          </a:solidFill>
                        </a:ln>
                      </wps:spPr>
                      <wps:txbx>
                        <w:txbxContent>
                          <w:p w14:paraId="7DCDAF8F" w14:textId="3F0D60B2" w:rsidR="00FE3A0F" w:rsidRDefault="00FE3A0F" w:rsidP="00864B30">
                            <w:pPr>
                              <w:jc w:val="center"/>
                            </w:pPr>
                            <w:r w:rsidRPr="00D568DC">
                              <w:rPr>
                                <w:rFonts w:ascii="Lora" w:hAnsi="Lora" w:cs="Times New Roman"/>
                                <w:b/>
                                <w:bCs/>
                                <w:i/>
                                <w:iCs/>
                                <w:color w:val="DB582A" w:themeColor="accent5"/>
                                <w:sz w:val="28"/>
                                <w:szCs w:val="28"/>
                              </w:rPr>
                              <w:t>Important</w:t>
                            </w:r>
                            <w:r w:rsidRPr="00D568DC">
                              <w:rPr>
                                <w:rFonts w:ascii="Lora" w:hAnsi="Lora" w:cs="Times New Roman"/>
                                <w:b/>
                                <w:bCs/>
                                <w:i/>
                                <w:iCs/>
                                <w:color w:val="DB582A" w:themeColor="accent5"/>
                                <w:sz w:val="28"/>
                                <w:szCs w:val="28"/>
                              </w:rPr>
                              <w:br/>
                            </w:r>
                            <w:r>
                              <w:rPr>
                                <w:rFonts w:ascii="Aptos" w:hAnsi="Aptos" w:cs="Times New Roman"/>
                                <w:sz w:val="22"/>
                                <w:szCs w:val="22"/>
                              </w:rPr>
                              <w:t>Unlike other federal privacy laws, t</w:t>
                            </w:r>
                            <w:r w:rsidRPr="0047359E">
                              <w:rPr>
                                <w:rFonts w:ascii="Aptos" w:hAnsi="Aptos" w:cs="Times New Roman"/>
                                <w:sz w:val="22"/>
                                <w:szCs w:val="22"/>
                              </w:rPr>
                              <w:t xml:space="preserve">he </w:t>
                            </w:r>
                            <w:r>
                              <w:rPr>
                                <w:rFonts w:ascii="Aptos" w:hAnsi="Aptos" w:cs="Times New Roman"/>
                                <w:sz w:val="22"/>
                                <w:szCs w:val="22"/>
                              </w:rPr>
                              <w:t xml:space="preserve">Bulk Data </w:t>
                            </w:r>
                            <w:r w:rsidRPr="0047359E">
                              <w:rPr>
                                <w:rFonts w:ascii="Aptos" w:hAnsi="Aptos" w:cs="Times New Roman"/>
                                <w:sz w:val="22"/>
                                <w:szCs w:val="22"/>
                              </w:rPr>
                              <w:t>Rule applies even if data are de</w:t>
                            </w:r>
                            <w:r w:rsidRPr="0047359E">
                              <w:rPr>
                                <w:rFonts w:ascii="Aptos" w:hAnsi="Aptos" w:cs="Times New Roman"/>
                                <w:sz w:val="22"/>
                                <w:szCs w:val="22"/>
                              </w:rPr>
                              <w:noBreakHyphen/>
                              <w:t>identified, pseudonymized, encrypted, or otherwise masked. De-identification does not remove the data from 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BA91685" id="_x0000_t202" coordsize="21600,21600" o:spt="202" path="m,l,21600r21600,l21600,xe">
                <v:stroke joinstyle="miter"/>
                <v:path gradientshapeok="t" o:connecttype="rect"/>
              </v:shapetype>
              <v:shape id="Text Box 1" o:spid="_x0000_s1026" type="#_x0000_t202" style="width:383.4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" fillcolor="#f7f7f7 [3212]" strokecolor="#134633 [3204]" strokeweight="2pt">
                <v:textbox>
                  <w:txbxContent>
                    <w:p w14:paraId="7DCDAF8F" w14:textId="3F0D60B2" w:rsidR="00FE3A0F" w:rsidRDefault="00FE3A0F" w:rsidP="00864B30">
                      <w:pPr>
                        <w:jc w:val="center"/>
                      </w:pPr>
                      <w:r w:rsidRPr="00D568DC">
                        <w:rPr>
                          <w:rFonts w:ascii="Lora" w:hAnsi="Lora" w:cs="Times New Roman"/>
                          <w:b/>
                          <w:bCs/>
                          <w:i/>
                          <w:iCs/>
                          <w:color w:val="DB582A" w:themeColor="accent5"/>
                          <w:sz w:val="28"/>
                          <w:szCs w:val="28"/>
                        </w:rPr>
                        <w:t>Important</w:t>
                      </w:r>
                      <w:r w:rsidRPr="00D568DC">
                        <w:rPr>
                          <w:rFonts w:ascii="Lora" w:hAnsi="Lora" w:cs="Times New Roman"/>
                          <w:b/>
                          <w:bCs/>
                          <w:i/>
                          <w:iCs/>
                          <w:color w:val="DB582A" w:themeColor="accent5"/>
                          <w:sz w:val="28"/>
                          <w:szCs w:val="28"/>
                        </w:rPr>
                        <w:br/>
                      </w:r>
                      <w:r>
                        <w:rPr>
                          <w:rFonts w:ascii="Aptos" w:hAnsi="Aptos" w:cs="Times New Roman"/>
                          <w:sz w:val="22"/>
                          <w:szCs w:val="22"/>
                        </w:rPr>
                        <w:t>Unlike other federal privacy laws, t</w:t>
                      </w:r>
                      <w:r w:rsidRPr="0047359E">
                        <w:rPr>
                          <w:rFonts w:ascii="Aptos" w:hAnsi="Aptos" w:cs="Times New Roman"/>
                          <w:sz w:val="22"/>
                          <w:szCs w:val="22"/>
                        </w:rPr>
                        <w:t xml:space="preserve">he </w:t>
                      </w:r>
                      <w:r>
                        <w:rPr>
                          <w:rFonts w:ascii="Aptos" w:hAnsi="Aptos" w:cs="Times New Roman"/>
                          <w:sz w:val="22"/>
                          <w:szCs w:val="22"/>
                        </w:rPr>
                        <w:t xml:space="preserve">Bulk Data </w:t>
                      </w:r>
                      <w:r w:rsidRPr="0047359E">
                        <w:rPr>
                          <w:rFonts w:ascii="Aptos" w:hAnsi="Aptos" w:cs="Times New Roman"/>
                          <w:sz w:val="22"/>
                          <w:szCs w:val="22"/>
                        </w:rPr>
                        <w:t>Rule applies even if data are de</w:t>
                      </w:r>
                      <w:r w:rsidRPr="0047359E">
                        <w:rPr>
                          <w:rFonts w:ascii="Aptos" w:hAnsi="Aptos" w:cs="Times New Roman"/>
                          <w:sz w:val="22"/>
                          <w:szCs w:val="22"/>
                        </w:rPr>
                        <w:noBreakHyphen/>
                        <w:t>identified, pseudonymized, encrypted, or otherwise masked. De-identification does not remove the data from scope.</w:t>
                      </w: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D17D28" w14:paraId="52FC73C5" w14:textId="77777777">
        <w:tc>
          <w:tcPr>
            <w:tcW w:w="2155" w:type="dxa"/>
            <w:shd w:val="clear" w:color="auto" w:fill="FFD200"/>
          </w:tcPr>
          <w:p w14:paraId="5DC468FC" w14:textId="77777777" w:rsidR="00D17D28" w:rsidRPr="00AC4323" w:rsidRDefault="00D17D28">
            <w:pPr>
              <w:rPr>
                <w:rFonts w:ascii="Aptos" w:hAnsi="Aptos" w:cs="Times New Roman"/>
                <w:sz w:val="4"/>
                <w:szCs w:val="4"/>
              </w:rPr>
            </w:pPr>
          </w:p>
        </w:tc>
      </w:tr>
      <w:tr w:rsidR="00D17D28" w:rsidRPr="00AC4323" w14:paraId="1D86A99D" w14:textId="77777777">
        <w:tc>
          <w:tcPr>
            <w:tcW w:w="2155" w:type="dxa"/>
            <w:shd w:val="clear" w:color="auto" w:fill="154733"/>
          </w:tcPr>
          <w:p w14:paraId="39F23FCF" w14:textId="77777777" w:rsidR="00D17D28" w:rsidRPr="00AC4323" w:rsidRDefault="00D17D28">
            <w:pPr>
              <w:rPr>
                <w:rFonts w:ascii="Aptos" w:hAnsi="Aptos" w:cs="Times New Roman"/>
                <w:sz w:val="10"/>
                <w:szCs w:val="10"/>
              </w:rPr>
            </w:pPr>
          </w:p>
        </w:tc>
      </w:tr>
    </w:tbl>
    <w:p w14:paraId="5225B577" w14:textId="5C0D143A" w:rsidR="00D17D28" w:rsidRPr="00C42B0E" w:rsidRDefault="00D17D28" w:rsidP="00D17D28">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Part I</w:t>
      </w:r>
      <w:r>
        <w:rPr>
          <w:rFonts w:ascii="Lora" w:hAnsi="Lora" w:cs="Times New Roman"/>
          <w:color w:val="134733"/>
        </w:rPr>
        <w:t>II</w:t>
      </w:r>
      <w:r w:rsidRPr="00C42B0E">
        <w:rPr>
          <w:rFonts w:ascii="Lora" w:hAnsi="Lora" w:cs="Times New Roman"/>
          <w:color w:val="134733"/>
        </w:rPr>
        <w:t xml:space="preserve">: </w:t>
      </w:r>
      <w:r>
        <w:rPr>
          <w:rFonts w:ascii="Lora" w:hAnsi="Lora" w:cs="Times New Roman"/>
          <w:color w:val="134733"/>
        </w:rPr>
        <w:t>Exceptions</w:t>
      </w:r>
    </w:p>
    <w:p w14:paraId="4EB590D5" w14:textId="34AEE1ED" w:rsidR="00D17D28" w:rsidRPr="00D17D28" w:rsidRDefault="00D17D28" w:rsidP="00D17D28">
      <w:pPr>
        <w:spacing w:before="200" w:after="200"/>
        <w:jc w:val="both"/>
        <w:rPr>
          <w:rFonts w:ascii="Aptos" w:hAnsi="Aptos" w:cs="Times New Roman"/>
          <w:sz w:val="22"/>
          <w:szCs w:val="22"/>
        </w:rPr>
      </w:pPr>
      <w:r w:rsidRPr="00D17D28">
        <w:rPr>
          <w:rFonts w:ascii="Aptos" w:hAnsi="Aptos" w:cs="Times New Roman"/>
          <w:sz w:val="22"/>
          <w:szCs w:val="22"/>
        </w:rPr>
        <w:t xml:space="preserve">The Bulk Data Rule includes several exceptions. The two most relevant are: </w:t>
      </w:r>
    </w:p>
    <w:p w14:paraId="26822734" w14:textId="3C4A833F" w:rsidR="00D17D28" w:rsidRPr="00D17D28" w:rsidRDefault="00D17D28" w:rsidP="00D17D28">
      <w:pPr>
        <w:numPr>
          <w:ilvl w:val="0"/>
          <w:numId w:val="29"/>
        </w:numPr>
        <w:spacing w:before="200" w:after="200"/>
        <w:jc w:val="both"/>
        <w:rPr>
          <w:rFonts w:ascii="Aptos" w:hAnsi="Aptos" w:cs="Times New Roman"/>
          <w:sz w:val="22"/>
          <w:szCs w:val="22"/>
        </w:rPr>
      </w:pPr>
      <w:r w:rsidRPr="00D17D28">
        <w:rPr>
          <w:rFonts w:ascii="Aptos" w:hAnsi="Aptos" w:cs="Times New Roman"/>
          <w:sz w:val="22"/>
          <w:szCs w:val="22"/>
        </w:rPr>
        <w:t xml:space="preserve">For federal research awards, data may be shared when a U.S. federal grant or contract specifically requires or authorizes the sharing. For example, if an NIH grant requires that genomic data be uploaded to an NIH-recommended online database and </w:t>
      </w:r>
      <w:r w:rsidR="003C1B2E">
        <w:rPr>
          <w:rFonts w:ascii="Aptos" w:hAnsi="Aptos" w:cs="Times New Roman"/>
          <w:sz w:val="22"/>
          <w:szCs w:val="22"/>
        </w:rPr>
        <w:t xml:space="preserve">the agency has extended log-in credentials to </w:t>
      </w:r>
      <w:r w:rsidRPr="00D17D28">
        <w:rPr>
          <w:rFonts w:ascii="Aptos" w:hAnsi="Aptos" w:cs="Times New Roman"/>
          <w:sz w:val="22"/>
          <w:szCs w:val="22"/>
        </w:rPr>
        <w:t xml:space="preserve">individuals </w:t>
      </w:r>
      <w:r w:rsidR="003C1B2E">
        <w:rPr>
          <w:rFonts w:ascii="Aptos" w:hAnsi="Aptos" w:cs="Times New Roman"/>
          <w:sz w:val="22"/>
          <w:szCs w:val="22"/>
        </w:rPr>
        <w:t xml:space="preserve">or entities </w:t>
      </w:r>
      <w:r w:rsidRPr="00D17D28">
        <w:rPr>
          <w:rFonts w:ascii="Aptos" w:hAnsi="Aptos" w:cs="Times New Roman"/>
          <w:sz w:val="22"/>
          <w:szCs w:val="22"/>
        </w:rPr>
        <w:t>from CoC’s</w:t>
      </w:r>
      <w:r w:rsidR="003C1B2E">
        <w:rPr>
          <w:rFonts w:ascii="Aptos" w:hAnsi="Aptos" w:cs="Times New Roman"/>
          <w:sz w:val="22"/>
          <w:szCs w:val="22"/>
        </w:rPr>
        <w:t>, the</w:t>
      </w:r>
      <w:r w:rsidRPr="00D17D28">
        <w:rPr>
          <w:rFonts w:ascii="Aptos" w:hAnsi="Aptos" w:cs="Times New Roman"/>
          <w:sz w:val="22"/>
          <w:szCs w:val="22"/>
        </w:rPr>
        <w:t xml:space="preserve"> data fits the exception.</w:t>
      </w:r>
    </w:p>
    <w:p w14:paraId="6A26B7FA" w14:textId="35E93000" w:rsidR="00D17D28" w:rsidRPr="00D17D28" w:rsidRDefault="00D17D28" w:rsidP="00D17D28">
      <w:pPr>
        <w:numPr>
          <w:ilvl w:val="0"/>
          <w:numId w:val="29"/>
        </w:numPr>
        <w:spacing w:before="200" w:after="200"/>
        <w:jc w:val="both"/>
        <w:rPr>
          <w:rFonts w:ascii="Aptos" w:hAnsi="Aptos" w:cs="Times New Roman"/>
          <w:sz w:val="22"/>
          <w:szCs w:val="22"/>
        </w:rPr>
      </w:pPr>
      <w:r w:rsidRPr="00D17D28">
        <w:rPr>
          <w:rFonts w:ascii="Aptos" w:hAnsi="Aptos" w:cs="Times New Roman"/>
          <w:sz w:val="22"/>
          <w:szCs w:val="22"/>
        </w:rPr>
        <w:t>Data that is publicly available without any access restrictions is not subject to the Bulk Data Rule. For example, information that can be viewed online without a login, registration, or approval</w:t>
      </w:r>
      <w:r w:rsidR="0049239F">
        <w:rPr>
          <w:rFonts w:ascii="Aptos" w:hAnsi="Aptos" w:cs="Times New Roman"/>
          <w:sz w:val="22"/>
          <w:szCs w:val="22"/>
        </w:rPr>
        <w:t xml:space="preserve"> fits this exception</w:t>
      </w:r>
      <w:r w:rsidRPr="00D17D28">
        <w:rPr>
          <w:rFonts w:ascii="Aptos" w:hAnsi="Aptos"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9E1F87" w14:paraId="5DF89373" w14:textId="77777777">
        <w:tc>
          <w:tcPr>
            <w:tcW w:w="2155" w:type="dxa"/>
            <w:shd w:val="clear" w:color="auto" w:fill="FFD200"/>
          </w:tcPr>
          <w:p w14:paraId="421C97CE" w14:textId="77777777" w:rsidR="009E1F87" w:rsidRPr="00AC4323" w:rsidRDefault="009E1F87">
            <w:pPr>
              <w:rPr>
                <w:rFonts w:ascii="Aptos" w:hAnsi="Aptos" w:cs="Times New Roman"/>
                <w:sz w:val="4"/>
                <w:szCs w:val="4"/>
              </w:rPr>
            </w:pPr>
          </w:p>
        </w:tc>
      </w:tr>
      <w:tr w:rsidR="009E1F87" w:rsidRPr="00AC4323" w14:paraId="6746FB08" w14:textId="77777777">
        <w:tc>
          <w:tcPr>
            <w:tcW w:w="2155" w:type="dxa"/>
            <w:shd w:val="clear" w:color="auto" w:fill="154733"/>
          </w:tcPr>
          <w:p w14:paraId="243D85E9" w14:textId="77777777" w:rsidR="009E1F87" w:rsidRPr="00AC4323" w:rsidRDefault="009E1F87">
            <w:pPr>
              <w:rPr>
                <w:rFonts w:ascii="Aptos" w:hAnsi="Aptos" w:cs="Times New Roman"/>
                <w:sz w:val="10"/>
                <w:szCs w:val="10"/>
              </w:rPr>
            </w:pPr>
          </w:p>
        </w:tc>
      </w:tr>
    </w:tbl>
    <w:p w14:paraId="75242923" w14:textId="31066D28" w:rsidR="009141CB" w:rsidRPr="009E1F87" w:rsidRDefault="009141CB">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Part I</w:t>
      </w:r>
      <w:r>
        <w:rPr>
          <w:rFonts w:ascii="Lora" w:hAnsi="Lora" w:cs="Times New Roman"/>
          <w:color w:val="134733"/>
        </w:rPr>
        <w:t>V</w:t>
      </w:r>
      <w:r w:rsidRPr="00C42B0E">
        <w:rPr>
          <w:rFonts w:ascii="Lora" w:hAnsi="Lora" w:cs="Times New Roman"/>
          <w:color w:val="134733"/>
        </w:rPr>
        <w:t xml:space="preserve">: </w:t>
      </w:r>
      <w:r>
        <w:rPr>
          <w:rFonts w:ascii="Lora" w:hAnsi="Lora" w:cs="Times New Roman"/>
          <w:color w:val="134733"/>
        </w:rPr>
        <w:t>Data Sharing with Foreign Entities</w:t>
      </w:r>
    </w:p>
    <w:p w14:paraId="0A0813CE" w14:textId="05543D6D" w:rsidR="009F14EF" w:rsidRPr="00CE4ABB" w:rsidRDefault="000D4261" w:rsidP="005E295C">
      <w:pPr>
        <w:spacing w:before="200" w:after="200"/>
        <w:jc w:val="both"/>
        <w:rPr>
          <w:rFonts w:ascii="Aptos" w:hAnsi="Aptos" w:cs="Times New Roman"/>
          <w:sz w:val="22"/>
          <w:szCs w:val="22"/>
        </w:rPr>
      </w:pPr>
      <w:r>
        <w:rPr>
          <w:rFonts w:ascii="Aptos" w:hAnsi="Aptos" w:cs="Times New Roman"/>
          <w:sz w:val="22"/>
          <w:szCs w:val="22"/>
        </w:rPr>
        <w:t xml:space="preserve">Using the above definitions, </w:t>
      </w:r>
      <w:r w:rsidR="005B135F">
        <w:rPr>
          <w:rFonts w:ascii="Aptos" w:hAnsi="Aptos" w:cs="Times New Roman"/>
          <w:sz w:val="22"/>
          <w:szCs w:val="22"/>
        </w:rPr>
        <w:t xml:space="preserve">UVM is prohibited from sharing data that exceeds the thresholds to covered individuals </w:t>
      </w:r>
      <w:r w:rsidR="005E295C">
        <w:rPr>
          <w:rFonts w:ascii="Aptos" w:hAnsi="Aptos" w:cs="Times New Roman"/>
          <w:sz w:val="22"/>
          <w:szCs w:val="22"/>
        </w:rPr>
        <w:t>or entities</w:t>
      </w:r>
      <w:r w:rsidR="00821745">
        <w:rPr>
          <w:rFonts w:ascii="Aptos" w:hAnsi="Aptos" w:cs="Times New Roman"/>
          <w:sz w:val="22"/>
          <w:szCs w:val="22"/>
        </w:rPr>
        <w:t xml:space="preserve"> unless an exception applies</w:t>
      </w:r>
      <w:r w:rsidR="00590CD9">
        <w:rPr>
          <w:rStyle w:val="FootnoteReference"/>
          <w:rFonts w:ascii="Aptos" w:hAnsi="Aptos" w:cs="Times New Roman"/>
          <w:sz w:val="22"/>
          <w:szCs w:val="22"/>
        </w:rPr>
        <w:footnoteReference w:id="1"/>
      </w:r>
      <w:r w:rsidR="005E295C">
        <w:rPr>
          <w:rFonts w:ascii="Aptos" w:hAnsi="Aptos" w:cs="Times New Roman"/>
          <w:sz w:val="22"/>
          <w:szCs w:val="22"/>
        </w:rPr>
        <w:t>.</w:t>
      </w:r>
      <w:r w:rsidR="007C6CED">
        <w:rPr>
          <w:rFonts w:ascii="Aptos" w:hAnsi="Aptos" w:cs="Times New Roman"/>
          <w:sz w:val="22"/>
          <w:szCs w:val="22"/>
        </w:rPr>
        <w:t xml:space="preserve"> </w:t>
      </w:r>
      <w:r w:rsidR="004B681F">
        <w:rPr>
          <w:rFonts w:ascii="Aptos" w:hAnsi="Aptos" w:cs="Times New Roman"/>
          <w:sz w:val="22"/>
          <w:szCs w:val="22"/>
        </w:rPr>
        <w:t>UVM must follow any restrictions under federal grants, awards, contracts and Data Use Agreements (DUAs)</w:t>
      </w:r>
      <w:r w:rsidR="00E028DC">
        <w:rPr>
          <w:rFonts w:ascii="Aptos" w:hAnsi="Aptos" w:cs="Times New Roman"/>
          <w:sz w:val="22"/>
          <w:szCs w:val="22"/>
        </w:rPr>
        <w:t xml:space="preserve"> even if an exception would otherwise apply.</w:t>
      </w:r>
    </w:p>
    <w:p w14:paraId="5B246DCA" w14:textId="1772732B" w:rsidR="00CB1EF0" w:rsidRPr="00CB1EF0" w:rsidRDefault="00CB1EF0" w:rsidP="00CB1EF0">
      <w:pPr>
        <w:spacing w:before="200" w:after="200"/>
        <w:jc w:val="both"/>
        <w:rPr>
          <w:rFonts w:ascii="Aptos" w:hAnsi="Aptos" w:cs="Times New Roman"/>
          <w:sz w:val="22"/>
          <w:szCs w:val="22"/>
        </w:rPr>
      </w:pPr>
      <w:r w:rsidRPr="46E807CA">
        <w:rPr>
          <w:rFonts w:ascii="Aptos" w:hAnsi="Aptos" w:cs="Times New Roman"/>
          <w:sz w:val="22"/>
          <w:szCs w:val="22"/>
        </w:rPr>
        <w:t>When UVM shares data with non</w:t>
      </w:r>
      <w:r w:rsidRPr="46E807CA">
        <w:rPr>
          <w:rFonts w:ascii="Cambria Math" w:hAnsi="Cambria Math" w:cs="Cambria Math"/>
          <w:sz w:val="22"/>
          <w:szCs w:val="22"/>
        </w:rPr>
        <w:t>‑</w:t>
      </w:r>
      <w:r w:rsidRPr="46E807CA">
        <w:rPr>
          <w:rFonts w:ascii="Aptos" w:hAnsi="Aptos" w:cs="Times New Roman"/>
          <w:sz w:val="22"/>
          <w:szCs w:val="22"/>
        </w:rPr>
        <w:t>U.S. organizations outside the CoCs (e.g., EU universities), we must ensure the foreign partner does not onward</w:t>
      </w:r>
      <w:r w:rsidRPr="46E807CA">
        <w:rPr>
          <w:rFonts w:ascii="Cambria Math" w:hAnsi="Cambria Math" w:cs="Cambria Math"/>
          <w:sz w:val="22"/>
          <w:szCs w:val="22"/>
        </w:rPr>
        <w:t>‑</w:t>
      </w:r>
      <w:r w:rsidRPr="46E807CA">
        <w:rPr>
          <w:rFonts w:ascii="Aptos" w:hAnsi="Aptos" w:cs="Times New Roman"/>
          <w:sz w:val="22"/>
          <w:szCs w:val="22"/>
        </w:rPr>
        <w:t>transfer bulk data to a CoC or covered person.</w:t>
      </w:r>
      <w:r w:rsidR="007973CB" w:rsidRPr="46E807CA">
        <w:rPr>
          <w:rFonts w:ascii="Aptos" w:hAnsi="Aptos" w:cs="Times New Roman"/>
          <w:sz w:val="22"/>
          <w:szCs w:val="22"/>
        </w:rPr>
        <w:t xml:space="preserve"> This is accomplished by ensuring that DUAs </w:t>
      </w:r>
      <w:r w:rsidRPr="46E807CA">
        <w:rPr>
          <w:rFonts w:ascii="Aptos" w:hAnsi="Aptos" w:cs="Times New Roman"/>
          <w:sz w:val="22"/>
          <w:szCs w:val="22"/>
        </w:rPr>
        <w:t xml:space="preserve">and collaboration agreements include </w:t>
      </w:r>
      <w:r w:rsidR="002641E2" w:rsidRPr="46E807CA">
        <w:rPr>
          <w:rFonts w:ascii="Aptos" w:hAnsi="Aptos" w:cs="Times New Roman"/>
          <w:sz w:val="22"/>
          <w:szCs w:val="22"/>
        </w:rPr>
        <w:t xml:space="preserve">standard </w:t>
      </w:r>
      <w:r w:rsidRPr="46E807CA">
        <w:rPr>
          <w:rFonts w:ascii="Aptos" w:hAnsi="Aptos" w:cs="Times New Roman"/>
          <w:sz w:val="22"/>
          <w:szCs w:val="22"/>
        </w:rPr>
        <w:t>mandatory restriction language prohibiting such onward sharing</w:t>
      </w:r>
      <w:r w:rsidR="00403E47">
        <w:rPr>
          <w:rFonts w:ascii="Aptos" w:hAnsi="Aptos" w:cs="Times New Roman"/>
          <w:sz w:val="22"/>
          <w:szCs w:val="22"/>
        </w:rPr>
        <w:t>.</w:t>
      </w:r>
      <w:r w:rsidR="005E6495">
        <w:rPr>
          <w:rFonts w:ascii="Aptos" w:hAnsi="Aptos" w:cs="Times New Roman"/>
          <w:sz w:val="22"/>
          <w:szCs w:val="22"/>
        </w:rPr>
        <w:t xml:space="preserve"> UVM uses </w:t>
      </w:r>
      <w:r w:rsidR="0043691E">
        <w:rPr>
          <w:rFonts w:ascii="Aptos" w:hAnsi="Aptos" w:cs="Times New Roman"/>
          <w:sz w:val="22"/>
          <w:szCs w:val="22"/>
        </w:rPr>
        <w:t>the Federal Demonstration Partnership templates (</w:t>
      </w:r>
      <w:hyperlink r:id="rId13" w:anchor="tab-id-1" w:history="1">
        <w:r w:rsidR="0043691E" w:rsidRPr="0043691E">
          <w:rPr>
            <w:rStyle w:val="Hyperlink"/>
            <w:rFonts w:ascii="Aptos" w:hAnsi="Aptos" w:cs="Times New Roman"/>
            <w:sz w:val="22"/>
            <w:szCs w:val="22"/>
          </w:rPr>
          <w:t>FDP DTUA Templates</w:t>
        </w:r>
      </w:hyperlink>
      <w:r w:rsidR="0043691E">
        <w:rPr>
          <w:rFonts w:ascii="Aptos" w:hAnsi="Aptos" w:cs="Times New Roman"/>
          <w:sz w:val="22"/>
          <w:szCs w:val="22"/>
        </w:rPr>
        <w:t xml:space="preserve">) which contain standard language requiring that </w:t>
      </w:r>
      <w:r w:rsidR="00A32F37">
        <w:rPr>
          <w:rFonts w:ascii="Aptos" w:hAnsi="Aptos" w:cs="Times New Roman"/>
          <w:sz w:val="22"/>
          <w:szCs w:val="22"/>
        </w:rPr>
        <w:t>the parties comply with existing laws, rules, and regulations</w:t>
      </w:r>
      <w:r w:rsidR="00851203">
        <w:rPr>
          <w:rFonts w:ascii="Aptos" w:hAnsi="Aptos" w:cs="Times New Roman"/>
          <w:sz w:val="22"/>
          <w:szCs w:val="22"/>
        </w:rPr>
        <w:t xml:space="preserve"> and that the </w:t>
      </w:r>
      <w:r w:rsidR="00A32F37">
        <w:rPr>
          <w:rFonts w:ascii="Aptos" w:hAnsi="Aptos" w:cs="Times New Roman"/>
          <w:sz w:val="22"/>
          <w:szCs w:val="22"/>
        </w:rPr>
        <w:t xml:space="preserve">obligations of </w:t>
      </w:r>
      <w:r w:rsidR="0043691E">
        <w:rPr>
          <w:rFonts w:ascii="Aptos" w:hAnsi="Aptos" w:cs="Times New Roman"/>
          <w:sz w:val="22"/>
          <w:szCs w:val="22"/>
        </w:rPr>
        <w:t xml:space="preserve">third parties </w:t>
      </w:r>
      <w:r w:rsidR="00A32F37">
        <w:rPr>
          <w:rFonts w:ascii="Aptos" w:hAnsi="Aptos" w:cs="Times New Roman"/>
          <w:sz w:val="22"/>
          <w:szCs w:val="22"/>
        </w:rPr>
        <w:t>are consistent</w:t>
      </w:r>
      <w:r w:rsidR="0043691E">
        <w:rPr>
          <w:rFonts w:ascii="Aptos" w:hAnsi="Aptos" w:cs="Times New Roman"/>
          <w:sz w:val="22"/>
          <w:szCs w:val="22"/>
        </w:rPr>
        <w:t xml:space="preserve"> with </w:t>
      </w:r>
      <w:r w:rsidR="00A32F37">
        <w:rPr>
          <w:rFonts w:ascii="Aptos" w:hAnsi="Aptos" w:cs="Times New Roman"/>
          <w:sz w:val="22"/>
          <w:szCs w:val="22"/>
        </w:rPr>
        <w:t xml:space="preserve">the terms of the DTUA. </w:t>
      </w:r>
      <w:r w:rsidR="009F433D" w:rsidRPr="46E807CA">
        <w:rPr>
          <w:rFonts w:ascii="Aptos" w:hAnsi="Aptos" w:cs="Times New Roman"/>
          <w:sz w:val="22"/>
          <w:szCs w:val="22"/>
        </w:rPr>
        <w:t xml:space="preserve">In instances when the </w:t>
      </w:r>
      <w:r w:rsidR="00851203">
        <w:rPr>
          <w:rFonts w:ascii="Aptos" w:hAnsi="Aptos" w:cs="Times New Roman"/>
          <w:sz w:val="22"/>
          <w:szCs w:val="22"/>
        </w:rPr>
        <w:t>DTUA template</w:t>
      </w:r>
      <w:r w:rsidR="009F433D" w:rsidRPr="46E807CA">
        <w:rPr>
          <w:rFonts w:ascii="Aptos" w:hAnsi="Aptos" w:cs="Times New Roman"/>
          <w:sz w:val="22"/>
          <w:szCs w:val="22"/>
        </w:rPr>
        <w:t xml:space="preserve"> is </w:t>
      </w:r>
      <w:r w:rsidR="00851203">
        <w:rPr>
          <w:rFonts w:ascii="Aptos" w:hAnsi="Aptos" w:cs="Times New Roman"/>
          <w:sz w:val="22"/>
          <w:szCs w:val="22"/>
        </w:rPr>
        <w:t xml:space="preserve">either </w:t>
      </w:r>
      <w:r w:rsidR="009F433D" w:rsidRPr="46E807CA">
        <w:rPr>
          <w:rFonts w:ascii="Aptos" w:hAnsi="Aptos" w:cs="Times New Roman"/>
          <w:sz w:val="22"/>
          <w:szCs w:val="22"/>
        </w:rPr>
        <w:t xml:space="preserve">not </w:t>
      </w:r>
      <w:r w:rsidR="00851203">
        <w:rPr>
          <w:rFonts w:ascii="Aptos" w:hAnsi="Aptos" w:cs="Times New Roman"/>
          <w:sz w:val="22"/>
          <w:szCs w:val="22"/>
        </w:rPr>
        <w:t xml:space="preserve">used or not </w:t>
      </w:r>
      <w:r w:rsidR="00C97CA7" w:rsidRPr="46E807CA">
        <w:rPr>
          <w:rFonts w:ascii="Aptos" w:hAnsi="Aptos" w:cs="Times New Roman"/>
          <w:sz w:val="22"/>
          <w:szCs w:val="22"/>
        </w:rPr>
        <w:t>approved by all parties to the agreement</w:t>
      </w:r>
      <w:r w:rsidR="009629A1" w:rsidRPr="46E807CA">
        <w:rPr>
          <w:rFonts w:ascii="Aptos" w:hAnsi="Aptos" w:cs="Times New Roman"/>
          <w:sz w:val="22"/>
          <w:szCs w:val="22"/>
        </w:rPr>
        <w:t xml:space="preserve"> or if edits are requested</w:t>
      </w:r>
      <w:r w:rsidR="00C97CA7" w:rsidRPr="46E807CA">
        <w:rPr>
          <w:rFonts w:ascii="Aptos" w:hAnsi="Aptos" w:cs="Times New Roman"/>
          <w:sz w:val="22"/>
          <w:szCs w:val="22"/>
        </w:rPr>
        <w:t>, c</w:t>
      </w:r>
      <w:r w:rsidR="00044CE2" w:rsidRPr="46E807CA">
        <w:rPr>
          <w:rFonts w:ascii="Aptos" w:hAnsi="Aptos" w:cs="Times New Roman"/>
          <w:sz w:val="22"/>
          <w:szCs w:val="22"/>
        </w:rPr>
        <w:t xml:space="preserve">onsultation with </w:t>
      </w:r>
      <w:r w:rsidR="00C97CA7" w:rsidRPr="46E807CA">
        <w:rPr>
          <w:rFonts w:ascii="Aptos" w:hAnsi="Aptos" w:cs="Times New Roman"/>
          <w:sz w:val="22"/>
          <w:szCs w:val="22"/>
        </w:rPr>
        <w:t xml:space="preserve">the Office of General Counsel </w:t>
      </w:r>
      <w:r w:rsidR="00472A0F" w:rsidRPr="46E807CA">
        <w:rPr>
          <w:rFonts w:ascii="Aptos" w:hAnsi="Aptos" w:cs="Times New Roman"/>
          <w:sz w:val="22"/>
          <w:szCs w:val="22"/>
        </w:rPr>
        <w:t xml:space="preserve">and </w:t>
      </w:r>
      <w:r w:rsidR="007E4D2C" w:rsidRPr="46E807CA">
        <w:rPr>
          <w:rFonts w:ascii="Aptos" w:hAnsi="Aptos" w:cs="Times New Roman"/>
          <w:sz w:val="22"/>
          <w:szCs w:val="22"/>
        </w:rPr>
        <w:t>OVPR</w:t>
      </w:r>
      <w:r w:rsidR="00472A0F" w:rsidRPr="46E807CA">
        <w:rPr>
          <w:rFonts w:ascii="Aptos" w:hAnsi="Aptos" w:cs="Times New Roman"/>
          <w:sz w:val="22"/>
          <w:szCs w:val="22"/>
        </w:rPr>
        <w:t xml:space="preserve"> and, if needed, </w:t>
      </w:r>
      <w:r w:rsidR="002641E2" w:rsidRPr="46E807CA">
        <w:rPr>
          <w:rFonts w:ascii="Aptos" w:hAnsi="Aptos" w:cs="Times New Roman"/>
          <w:sz w:val="22"/>
          <w:szCs w:val="22"/>
        </w:rPr>
        <w:t xml:space="preserve">the </w:t>
      </w:r>
      <w:r w:rsidR="007E4D2C" w:rsidRPr="46E807CA">
        <w:rPr>
          <w:rFonts w:ascii="Aptos" w:hAnsi="Aptos" w:cs="Times New Roman"/>
          <w:sz w:val="22"/>
          <w:szCs w:val="22"/>
        </w:rPr>
        <w:t xml:space="preserve">Information Security Officer and/or </w:t>
      </w:r>
      <w:r w:rsidR="002641E2" w:rsidRPr="46E807CA">
        <w:rPr>
          <w:rFonts w:ascii="Aptos" w:hAnsi="Aptos" w:cs="Times New Roman"/>
          <w:sz w:val="22"/>
          <w:szCs w:val="22"/>
        </w:rPr>
        <w:t xml:space="preserve">the </w:t>
      </w:r>
      <w:r w:rsidR="007E4D2C" w:rsidRPr="46E807CA">
        <w:rPr>
          <w:rFonts w:ascii="Aptos" w:hAnsi="Aptos" w:cs="Times New Roman"/>
          <w:sz w:val="22"/>
          <w:szCs w:val="22"/>
        </w:rPr>
        <w:t xml:space="preserve">Chief Privacy Officer </w:t>
      </w:r>
      <w:r w:rsidR="00C97CA7" w:rsidRPr="46E807CA">
        <w:rPr>
          <w:rFonts w:ascii="Aptos" w:hAnsi="Aptos" w:cs="Times New Roman"/>
          <w:sz w:val="22"/>
          <w:szCs w:val="22"/>
        </w:rPr>
        <w:t>is</w:t>
      </w:r>
      <w:r w:rsidR="007E4D2C" w:rsidRPr="46E807CA">
        <w:rPr>
          <w:rFonts w:ascii="Aptos" w:hAnsi="Aptos" w:cs="Times New Roman"/>
          <w:sz w:val="22"/>
          <w:szCs w:val="22"/>
        </w:rPr>
        <w:t xml:space="preserve"> </w:t>
      </w:r>
      <w:r w:rsidRPr="46E807CA">
        <w:rPr>
          <w:rFonts w:ascii="Aptos" w:hAnsi="Aptos" w:cs="Times New Roman"/>
          <w:sz w:val="22"/>
          <w:szCs w:val="22"/>
        </w:rPr>
        <w:t>required for DUAs that may involve data volumes approaching thresholds.</w:t>
      </w:r>
    </w:p>
    <w:p w14:paraId="77E501FA" w14:textId="5BF59A36" w:rsidR="009F14EF" w:rsidRPr="00CE4ABB" w:rsidRDefault="001E4B99" w:rsidP="00CB1EF0">
      <w:pPr>
        <w:spacing w:before="200" w:after="200"/>
        <w:jc w:val="both"/>
        <w:rPr>
          <w:rFonts w:ascii="Aptos" w:hAnsi="Aptos" w:cs="Times New Roman"/>
          <w:sz w:val="22"/>
          <w:szCs w:val="22"/>
        </w:rPr>
      </w:pPr>
      <w:r>
        <w:rPr>
          <w:rFonts w:ascii="Aptos" w:hAnsi="Aptos" w:cs="Times New Roman"/>
          <w:sz w:val="22"/>
          <w:szCs w:val="22"/>
        </w:rPr>
        <w:t>To emphasize, i</w:t>
      </w:r>
      <w:r w:rsidR="00CB1EF0" w:rsidRPr="00CB1EF0">
        <w:rPr>
          <w:rFonts w:ascii="Aptos" w:hAnsi="Aptos" w:cs="Times New Roman"/>
          <w:sz w:val="22"/>
          <w:szCs w:val="22"/>
        </w:rPr>
        <w:t>f the partner</w:t>
      </w:r>
      <w:r w:rsidR="00C97CA7">
        <w:rPr>
          <w:rFonts w:ascii="Aptos" w:hAnsi="Aptos" w:cs="Times New Roman"/>
          <w:sz w:val="22"/>
          <w:szCs w:val="22"/>
        </w:rPr>
        <w:t>(s)</w:t>
      </w:r>
      <w:r w:rsidR="00CB1EF0" w:rsidRPr="00CB1EF0">
        <w:rPr>
          <w:rFonts w:ascii="Aptos" w:hAnsi="Aptos" w:cs="Times New Roman"/>
          <w:sz w:val="22"/>
          <w:szCs w:val="22"/>
        </w:rPr>
        <w:t xml:space="preserve"> cannot ensure protection against onward transfer</w:t>
      </w:r>
      <w:r w:rsidR="00DE1ECC">
        <w:rPr>
          <w:rFonts w:ascii="Aptos" w:hAnsi="Aptos" w:cs="Times New Roman"/>
          <w:sz w:val="22"/>
          <w:szCs w:val="22"/>
        </w:rPr>
        <w:t xml:space="preserve"> or if an exception does not apply, </w:t>
      </w:r>
      <w:r w:rsidR="00CB1EF0" w:rsidRPr="00CB1EF0">
        <w:rPr>
          <w:rFonts w:ascii="Aptos" w:hAnsi="Aptos" w:cs="Times New Roman"/>
          <w:sz w:val="22"/>
          <w:szCs w:val="22"/>
        </w:rPr>
        <w:t>UVM cannot share the bulk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1E4B99" w14:paraId="28A5F83A" w14:textId="77777777">
        <w:tc>
          <w:tcPr>
            <w:tcW w:w="2155" w:type="dxa"/>
            <w:shd w:val="clear" w:color="auto" w:fill="FFD200"/>
          </w:tcPr>
          <w:p w14:paraId="26A87BE6" w14:textId="77777777" w:rsidR="001E4B99" w:rsidRPr="00AC4323" w:rsidRDefault="001E4B99">
            <w:pPr>
              <w:rPr>
                <w:rFonts w:ascii="Aptos" w:hAnsi="Aptos" w:cs="Times New Roman"/>
                <w:sz w:val="4"/>
                <w:szCs w:val="4"/>
              </w:rPr>
            </w:pPr>
          </w:p>
        </w:tc>
      </w:tr>
      <w:tr w:rsidR="001E4B99" w:rsidRPr="00AC4323" w14:paraId="1ED55718" w14:textId="77777777">
        <w:tc>
          <w:tcPr>
            <w:tcW w:w="2155" w:type="dxa"/>
            <w:shd w:val="clear" w:color="auto" w:fill="154733"/>
          </w:tcPr>
          <w:p w14:paraId="0230A277" w14:textId="77777777" w:rsidR="001E4B99" w:rsidRPr="00AC4323" w:rsidRDefault="001E4B99">
            <w:pPr>
              <w:rPr>
                <w:rFonts w:ascii="Aptos" w:hAnsi="Aptos" w:cs="Times New Roman"/>
                <w:sz w:val="10"/>
                <w:szCs w:val="10"/>
              </w:rPr>
            </w:pPr>
          </w:p>
        </w:tc>
      </w:tr>
    </w:tbl>
    <w:p w14:paraId="797AFF78" w14:textId="1FA24BDD" w:rsidR="001E4B99" w:rsidRPr="009E1F87" w:rsidRDefault="001E4B99" w:rsidP="001E4B99">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 xml:space="preserve">Part </w:t>
      </w:r>
      <w:r>
        <w:rPr>
          <w:rFonts w:ascii="Lora" w:hAnsi="Lora" w:cs="Times New Roman"/>
          <w:color w:val="134733"/>
        </w:rPr>
        <w:t>V</w:t>
      </w:r>
      <w:r w:rsidRPr="00C42B0E">
        <w:rPr>
          <w:rFonts w:ascii="Lora" w:hAnsi="Lora" w:cs="Times New Roman"/>
          <w:color w:val="134733"/>
        </w:rPr>
        <w:t xml:space="preserve">: </w:t>
      </w:r>
      <w:r w:rsidR="00472A0F">
        <w:rPr>
          <w:rFonts w:ascii="Lora" w:hAnsi="Lora" w:cs="Times New Roman"/>
          <w:color w:val="134733"/>
        </w:rPr>
        <w:t>Requirements for Data Sharing with U.S. Entiti</w:t>
      </w:r>
      <w:r w:rsidR="0088438F">
        <w:rPr>
          <w:rFonts w:ascii="Lora" w:hAnsi="Lora" w:cs="Times New Roman"/>
          <w:color w:val="134733"/>
        </w:rPr>
        <w:t>es</w:t>
      </w:r>
    </w:p>
    <w:p w14:paraId="6D52BF07" w14:textId="1EA34768" w:rsidR="009F14EF" w:rsidRPr="0088438F" w:rsidRDefault="009F14EF" w:rsidP="00CE4ABB">
      <w:pPr>
        <w:spacing w:before="200" w:after="200"/>
        <w:jc w:val="both"/>
        <w:rPr>
          <w:rFonts w:ascii="Aptos" w:hAnsi="Aptos" w:cs="Times New Roman"/>
          <w:sz w:val="22"/>
          <w:szCs w:val="22"/>
        </w:rPr>
      </w:pPr>
      <w:r w:rsidRPr="0088438F">
        <w:rPr>
          <w:rFonts w:ascii="Aptos" w:hAnsi="Aptos" w:cs="Times New Roman"/>
          <w:sz w:val="22"/>
          <w:szCs w:val="22"/>
        </w:rPr>
        <w:t xml:space="preserve">Transfers to U.S.-based </w:t>
      </w:r>
      <w:r w:rsidR="000B650A">
        <w:rPr>
          <w:rFonts w:ascii="Aptos" w:hAnsi="Aptos" w:cs="Times New Roman"/>
          <w:sz w:val="22"/>
          <w:szCs w:val="22"/>
        </w:rPr>
        <w:t>universities or organizations</w:t>
      </w:r>
      <w:r w:rsidRPr="0088438F">
        <w:rPr>
          <w:rFonts w:ascii="Aptos" w:hAnsi="Aptos" w:cs="Times New Roman"/>
          <w:sz w:val="22"/>
          <w:szCs w:val="22"/>
        </w:rPr>
        <w:t xml:space="preserve"> are permitted as long as:</w:t>
      </w:r>
    </w:p>
    <w:p w14:paraId="1A776615" w14:textId="476F0A3B" w:rsidR="009F14EF" w:rsidRPr="00CE4ABB" w:rsidRDefault="009F14EF" w:rsidP="00CE4ABB">
      <w:pPr>
        <w:numPr>
          <w:ilvl w:val="0"/>
          <w:numId w:val="13"/>
        </w:numPr>
        <w:spacing w:before="200" w:after="200"/>
        <w:jc w:val="both"/>
        <w:rPr>
          <w:rFonts w:ascii="Aptos" w:hAnsi="Aptos" w:cs="Times New Roman"/>
          <w:sz w:val="22"/>
          <w:szCs w:val="22"/>
        </w:rPr>
      </w:pPr>
      <w:r w:rsidRPr="00CE4ABB">
        <w:rPr>
          <w:rFonts w:ascii="Aptos" w:hAnsi="Aptos" w:cs="Times New Roman"/>
          <w:sz w:val="22"/>
          <w:szCs w:val="22"/>
        </w:rPr>
        <w:lastRenderedPageBreak/>
        <w:t>The re</w:t>
      </w:r>
      <w:r w:rsidR="00FE4E28">
        <w:rPr>
          <w:rFonts w:ascii="Aptos" w:hAnsi="Aptos" w:cs="Times New Roman"/>
          <w:sz w:val="22"/>
          <w:szCs w:val="22"/>
        </w:rPr>
        <w:t>searcher</w:t>
      </w:r>
      <w:r w:rsidR="003C17A0">
        <w:rPr>
          <w:rFonts w:ascii="Aptos" w:hAnsi="Aptos" w:cs="Times New Roman"/>
          <w:sz w:val="22"/>
          <w:szCs w:val="22"/>
        </w:rPr>
        <w:t>(</w:t>
      </w:r>
      <w:r w:rsidR="00FE4E28">
        <w:rPr>
          <w:rFonts w:ascii="Aptos" w:hAnsi="Aptos" w:cs="Times New Roman"/>
          <w:sz w:val="22"/>
          <w:szCs w:val="22"/>
        </w:rPr>
        <w:t>s</w:t>
      </w:r>
      <w:r w:rsidR="003C17A0">
        <w:rPr>
          <w:rFonts w:ascii="Aptos" w:hAnsi="Aptos" w:cs="Times New Roman"/>
          <w:sz w:val="22"/>
          <w:szCs w:val="22"/>
        </w:rPr>
        <w:t>)</w:t>
      </w:r>
      <w:r w:rsidR="00FE4E28">
        <w:rPr>
          <w:rFonts w:ascii="Aptos" w:hAnsi="Aptos" w:cs="Times New Roman"/>
          <w:sz w:val="22"/>
          <w:szCs w:val="22"/>
        </w:rPr>
        <w:t xml:space="preserve"> accessing the data are located within the U.S. </w:t>
      </w:r>
      <w:r w:rsidR="00695297">
        <w:rPr>
          <w:rFonts w:ascii="Aptos" w:hAnsi="Aptos" w:cs="Times New Roman"/>
          <w:sz w:val="22"/>
          <w:szCs w:val="22"/>
        </w:rPr>
        <w:t>and ha</w:t>
      </w:r>
      <w:r w:rsidR="003C17A0">
        <w:rPr>
          <w:rFonts w:ascii="Aptos" w:hAnsi="Aptos" w:cs="Times New Roman"/>
          <w:sz w:val="22"/>
          <w:szCs w:val="22"/>
        </w:rPr>
        <w:t>ve</w:t>
      </w:r>
      <w:r w:rsidR="00695297">
        <w:rPr>
          <w:rFonts w:ascii="Aptos" w:hAnsi="Aptos" w:cs="Times New Roman"/>
          <w:sz w:val="22"/>
          <w:szCs w:val="22"/>
        </w:rPr>
        <w:t xml:space="preserve"> not been </w:t>
      </w:r>
      <w:r w:rsidRPr="00CE4ABB">
        <w:rPr>
          <w:rFonts w:ascii="Aptos" w:hAnsi="Aptos" w:cs="Times New Roman"/>
          <w:sz w:val="22"/>
          <w:szCs w:val="22"/>
        </w:rPr>
        <w:t>designated a covered person</w:t>
      </w:r>
      <w:r w:rsidR="00131929">
        <w:rPr>
          <w:rFonts w:ascii="Aptos" w:hAnsi="Aptos" w:cs="Times New Roman"/>
          <w:sz w:val="22"/>
          <w:szCs w:val="22"/>
        </w:rPr>
        <w:t xml:space="preserve"> or have been identified as working for or with a covered </w:t>
      </w:r>
      <w:proofErr w:type="gramStart"/>
      <w:r w:rsidR="00131929">
        <w:rPr>
          <w:rFonts w:ascii="Aptos" w:hAnsi="Aptos" w:cs="Times New Roman"/>
          <w:sz w:val="22"/>
          <w:szCs w:val="22"/>
        </w:rPr>
        <w:t>entity</w:t>
      </w:r>
      <w:r w:rsidR="0088438F">
        <w:rPr>
          <w:rFonts w:ascii="Aptos" w:hAnsi="Aptos" w:cs="Times New Roman"/>
          <w:sz w:val="22"/>
          <w:szCs w:val="22"/>
        </w:rPr>
        <w:t>;</w:t>
      </w:r>
      <w:proofErr w:type="gramEnd"/>
    </w:p>
    <w:p w14:paraId="569E3738" w14:textId="68DF5450" w:rsidR="00784FED" w:rsidRDefault="009F14EF">
      <w:pPr>
        <w:numPr>
          <w:ilvl w:val="0"/>
          <w:numId w:val="13"/>
        </w:numPr>
        <w:spacing w:before="200" w:after="200"/>
        <w:jc w:val="both"/>
        <w:rPr>
          <w:rFonts w:ascii="Aptos" w:hAnsi="Aptos" w:cs="Times New Roman"/>
          <w:sz w:val="22"/>
          <w:szCs w:val="22"/>
        </w:rPr>
      </w:pPr>
      <w:r w:rsidRPr="00784FED">
        <w:rPr>
          <w:rFonts w:ascii="Aptos" w:hAnsi="Aptos" w:cs="Times New Roman"/>
          <w:sz w:val="22"/>
          <w:szCs w:val="22"/>
        </w:rPr>
        <w:t xml:space="preserve">Data will not be </w:t>
      </w:r>
      <w:r w:rsidR="00784FED" w:rsidRPr="00784FED">
        <w:rPr>
          <w:rFonts w:ascii="Aptos" w:hAnsi="Aptos" w:cs="Times New Roman"/>
          <w:sz w:val="22"/>
          <w:szCs w:val="22"/>
        </w:rPr>
        <w:t xml:space="preserve">further shared with </w:t>
      </w:r>
      <w:r w:rsidRPr="00784FED">
        <w:rPr>
          <w:rFonts w:ascii="Aptos" w:hAnsi="Aptos" w:cs="Times New Roman"/>
          <w:sz w:val="22"/>
          <w:szCs w:val="22"/>
        </w:rPr>
        <w:t>any Covered Person or</w:t>
      </w:r>
      <w:r w:rsidR="00784FED" w:rsidRPr="00784FED">
        <w:rPr>
          <w:rFonts w:ascii="Aptos" w:hAnsi="Aptos" w:cs="Times New Roman"/>
          <w:sz w:val="22"/>
          <w:szCs w:val="22"/>
        </w:rPr>
        <w:t xml:space="preserve"> Entity</w:t>
      </w:r>
      <w:r w:rsidR="008456C7">
        <w:rPr>
          <w:rFonts w:ascii="Aptos" w:hAnsi="Aptos" w:cs="Times New Roman"/>
          <w:sz w:val="22"/>
          <w:szCs w:val="22"/>
        </w:rPr>
        <w:t>; and</w:t>
      </w:r>
    </w:p>
    <w:p w14:paraId="0924ECC6" w14:textId="0756939F" w:rsidR="008456C7" w:rsidRDefault="00353780">
      <w:pPr>
        <w:numPr>
          <w:ilvl w:val="0"/>
          <w:numId w:val="13"/>
        </w:numPr>
        <w:spacing w:before="200" w:after="200"/>
        <w:jc w:val="both"/>
        <w:rPr>
          <w:rFonts w:ascii="Aptos" w:hAnsi="Aptos" w:cs="Times New Roman"/>
          <w:sz w:val="22"/>
          <w:szCs w:val="22"/>
        </w:rPr>
      </w:pPr>
      <w:r>
        <w:rPr>
          <w:rFonts w:ascii="Aptos" w:hAnsi="Aptos" w:cs="Times New Roman"/>
          <w:sz w:val="22"/>
          <w:szCs w:val="22"/>
        </w:rPr>
        <w:t xml:space="preserve">If the </w:t>
      </w:r>
      <w:r w:rsidR="009E67E0">
        <w:rPr>
          <w:rFonts w:ascii="Aptos" w:hAnsi="Aptos" w:cs="Times New Roman"/>
          <w:sz w:val="22"/>
          <w:szCs w:val="22"/>
        </w:rPr>
        <w:t>person or entity accessing the data be</w:t>
      </w:r>
      <w:r w:rsidR="00E467E5">
        <w:rPr>
          <w:rFonts w:ascii="Aptos" w:hAnsi="Aptos" w:cs="Times New Roman"/>
          <w:sz w:val="22"/>
          <w:szCs w:val="22"/>
        </w:rPr>
        <w:t>c</w:t>
      </w:r>
      <w:r w:rsidR="009E67E0">
        <w:rPr>
          <w:rFonts w:ascii="Aptos" w:hAnsi="Aptos" w:cs="Times New Roman"/>
          <w:sz w:val="22"/>
          <w:szCs w:val="22"/>
        </w:rPr>
        <w:t xml:space="preserve">omes designated as a covered person or covered entity, they </w:t>
      </w:r>
      <w:r w:rsidR="00E467E5">
        <w:rPr>
          <w:rFonts w:ascii="Aptos" w:hAnsi="Aptos" w:cs="Times New Roman"/>
          <w:sz w:val="22"/>
          <w:szCs w:val="22"/>
        </w:rPr>
        <w:t>will be subject to the Bulk Data Rule.</w:t>
      </w:r>
      <w:r w:rsidR="00322CAA">
        <w:rPr>
          <w:rFonts w:ascii="Aptos" w:hAnsi="Aptos" w:cs="Times New Roman"/>
          <w:sz w:val="22"/>
          <w:szCs w:val="22"/>
        </w:rPr>
        <w:t xml:space="preserve"> </w:t>
      </w:r>
      <w:r w:rsidR="00322CAA" w:rsidRPr="00CE4ABB">
        <w:rPr>
          <w:rFonts w:ascii="Aptos" w:hAnsi="Aptos" w:cs="Times New Roman"/>
          <w:sz w:val="22"/>
          <w:szCs w:val="22"/>
        </w:rPr>
        <w:t xml:space="preserve">U.S. partners are responsible for notifying UVM within 48 hours </w:t>
      </w:r>
      <w:r w:rsidR="004551DE">
        <w:rPr>
          <w:rFonts w:ascii="Aptos" w:hAnsi="Aptos" w:cs="Times New Roman"/>
          <w:sz w:val="22"/>
          <w:szCs w:val="22"/>
        </w:rPr>
        <w:t>of their designation as a</w:t>
      </w:r>
      <w:r w:rsidR="00322CAA" w:rsidRPr="00CE4ABB">
        <w:rPr>
          <w:rFonts w:ascii="Aptos" w:hAnsi="Aptos" w:cs="Times New Roman"/>
          <w:sz w:val="22"/>
          <w:szCs w:val="22"/>
        </w:rPr>
        <w:t xml:space="preserve"> covered person</w:t>
      </w:r>
      <w:r w:rsidR="004551DE">
        <w:rPr>
          <w:rFonts w:ascii="Aptos" w:hAnsi="Aptos" w:cs="Times New Roman"/>
          <w:sz w:val="22"/>
          <w:szCs w:val="22"/>
        </w:rPr>
        <w:t xml:space="preserve"> or entity</w:t>
      </w:r>
      <w:r w:rsidR="00322CAA" w:rsidRPr="00CE4ABB">
        <w:rPr>
          <w:rFonts w:ascii="Aptos" w:hAnsi="Aptos" w:cs="Times New Roman"/>
          <w:sz w:val="22"/>
          <w:szCs w:val="22"/>
        </w:rPr>
        <w:t>.</w:t>
      </w:r>
    </w:p>
    <w:p w14:paraId="5420F0F1" w14:textId="1F03248F" w:rsidR="009F14EF" w:rsidRPr="00784FED" w:rsidRDefault="009F14EF" w:rsidP="00784FED">
      <w:pPr>
        <w:spacing w:before="200" w:after="200"/>
        <w:jc w:val="both"/>
        <w:rPr>
          <w:rFonts w:ascii="Aptos" w:hAnsi="Aptos" w:cs="Times New Roman"/>
          <w:sz w:val="22"/>
          <w:szCs w:val="22"/>
        </w:rPr>
      </w:pPr>
      <w:r w:rsidRPr="00784FED">
        <w:rPr>
          <w:rFonts w:ascii="Aptos" w:hAnsi="Aptos" w:cs="Times New Roman"/>
          <w:sz w:val="22"/>
          <w:szCs w:val="22"/>
        </w:rPr>
        <w:t xml:space="preserve">If it is possible that future data </w:t>
      </w:r>
      <w:r w:rsidRPr="008456C7">
        <w:rPr>
          <w:rFonts w:ascii="Aptos" w:hAnsi="Aptos" w:cs="Times New Roman"/>
          <w:sz w:val="22"/>
          <w:szCs w:val="22"/>
        </w:rPr>
        <w:t>updates could exceed</w:t>
      </w:r>
      <w:r w:rsidRPr="00784FED">
        <w:rPr>
          <w:rFonts w:ascii="Aptos" w:hAnsi="Aptos" w:cs="Times New Roman"/>
          <w:sz w:val="22"/>
          <w:szCs w:val="22"/>
        </w:rPr>
        <w:t xml:space="preserve"> the threshold:</w:t>
      </w:r>
    </w:p>
    <w:p w14:paraId="1B8BACB3" w14:textId="7B7F3AC9" w:rsidR="00BE09A1" w:rsidRPr="00CE4ABB" w:rsidRDefault="009F14EF" w:rsidP="00BE09A1">
      <w:pPr>
        <w:spacing w:before="200" w:after="200"/>
        <w:jc w:val="both"/>
        <w:rPr>
          <w:rFonts w:ascii="Aptos" w:hAnsi="Aptos" w:cs="Times New Roman"/>
          <w:sz w:val="22"/>
          <w:szCs w:val="22"/>
        </w:rPr>
      </w:pPr>
      <w:r w:rsidRPr="35346A3A">
        <w:rPr>
          <w:rFonts w:ascii="Aptos" w:hAnsi="Aptos" w:cs="Times New Roman"/>
          <w:sz w:val="22"/>
          <w:szCs w:val="22"/>
        </w:rPr>
        <w:t>The agreement must include onward</w:t>
      </w:r>
      <w:r w:rsidR="00A97F03">
        <w:rPr>
          <w:rFonts w:ascii="Aptos" w:hAnsi="Aptos" w:cs="Times New Roman"/>
          <w:sz w:val="22"/>
          <w:szCs w:val="22"/>
        </w:rPr>
        <w:t xml:space="preserve"> </w:t>
      </w:r>
      <w:r w:rsidRPr="35346A3A">
        <w:rPr>
          <w:rFonts w:ascii="Aptos" w:hAnsi="Aptos" w:cs="Times New Roman"/>
          <w:sz w:val="22"/>
          <w:szCs w:val="22"/>
        </w:rPr>
        <w:t>transfer prohibitions, even if the initial data volume is below the bulk threshold</w:t>
      </w:r>
      <w:r w:rsidR="00081531" w:rsidRPr="35346A3A">
        <w:rPr>
          <w:rFonts w:ascii="Aptos" w:hAnsi="Aptos" w:cs="Times New Roman"/>
          <w:sz w:val="22"/>
          <w:szCs w:val="22"/>
        </w:rPr>
        <w:t xml:space="preserve"> (see Addendum A)</w:t>
      </w:r>
      <w:r w:rsidRPr="35346A3A">
        <w:rPr>
          <w:rFonts w:ascii="Aptos" w:hAnsi="Aptos" w:cs="Times New Roman"/>
          <w:sz w:val="22"/>
          <w:szCs w:val="22"/>
        </w:rPr>
        <w:t>.</w:t>
      </w:r>
      <w:r w:rsidR="00081531" w:rsidRPr="35346A3A">
        <w:rPr>
          <w:rFonts w:ascii="Aptos" w:hAnsi="Aptos" w:cs="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BE09A1" w14:paraId="6B39472F" w14:textId="77777777">
        <w:tc>
          <w:tcPr>
            <w:tcW w:w="2155" w:type="dxa"/>
            <w:shd w:val="clear" w:color="auto" w:fill="FFD200"/>
          </w:tcPr>
          <w:p w14:paraId="586D1130" w14:textId="77777777" w:rsidR="00BE09A1" w:rsidRPr="00AC4323" w:rsidRDefault="00BE09A1">
            <w:pPr>
              <w:rPr>
                <w:rFonts w:ascii="Aptos" w:hAnsi="Aptos" w:cs="Times New Roman"/>
                <w:sz w:val="4"/>
                <w:szCs w:val="4"/>
              </w:rPr>
            </w:pPr>
          </w:p>
        </w:tc>
      </w:tr>
      <w:tr w:rsidR="00BE09A1" w:rsidRPr="00AC4323" w14:paraId="5D0377EF" w14:textId="77777777">
        <w:tc>
          <w:tcPr>
            <w:tcW w:w="2155" w:type="dxa"/>
            <w:shd w:val="clear" w:color="auto" w:fill="154733"/>
          </w:tcPr>
          <w:p w14:paraId="0F6CD3BB" w14:textId="77777777" w:rsidR="00BE09A1" w:rsidRPr="00AC4323" w:rsidRDefault="00BE09A1">
            <w:pPr>
              <w:rPr>
                <w:rFonts w:ascii="Aptos" w:hAnsi="Aptos" w:cs="Times New Roman"/>
                <w:sz w:val="10"/>
                <w:szCs w:val="10"/>
              </w:rPr>
            </w:pPr>
          </w:p>
        </w:tc>
      </w:tr>
    </w:tbl>
    <w:p w14:paraId="691D0535" w14:textId="5D4571FD" w:rsidR="00BE09A1" w:rsidRPr="009E1F87" w:rsidRDefault="00BE09A1" w:rsidP="00BE09A1">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 xml:space="preserve">Part </w:t>
      </w:r>
      <w:r>
        <w:rPr>
          <w:rFonts w:ascii="Lora" w:hAnsi="Lora" w:cs="Times New Roman"/>
          <w:color w:val="134733"/>
        </w:rPr>
        <w:t>VI</w:t>
      </w:r>
      <w:r w:rsidRPr="00C42B0E">
        <w:rPr>
          <w:rFonts w:ascii="Lora" w:hAnsi="Lora" w:cs="Times New Roman"/>
          <w:color w:val="134733"/>
        </w:rPr>
        <w:t xml:space="preserve">: </w:t>
      </w:r>
      <w:r>
        <w:rPr>
          <w:rFonts w:ascii="Lora" w:hAnsi="Lora" w:cs="Times New Roman"/>
          <w:color w:val="134733"/>
        </w:rPr>
        <w:t>Data Repository Submissions</w:t>
      </w:r>
    </w:p>
    <w:p w14:paraId="04D225FF" w14:textId="4D35207F" w:rsidR="009F14EF" w:rsidRPr="00CE4ABB" w:rsidRDefault="009F14EF" w:rsidP="00CE4ABB">
      <w:pPr>
        <w:spacing w:before="200" w:after="200"/>
        <w:jc w:val="both"/>
        <w:rPr>
          <w:rFonts w:ascii="Aptos" w:hAnsi="Aptos" w:cs="Times New Roman"/>
          <w:sz w:val="22"/>
          <w:szCs w:val="22"/>
        </w:rPr>
      </w:pPr>
      <w:r w:rsidRPr="35346A3A">
        <w:rPr>
          <w:rFonts w:ascii="Aptos" w:hAnsi="Aptos" w:cs="Times New Roman"/>
          <w:sz w:val="22"/>
          <w:szCs w:val="22"/>
        </w:rPr>
        <w:t>The Rule applies to depositing UVM data into third</w:t>
      </w:r>
      <w:r w:rsidR="008E03D8">
        <w:rPr>
          <w:rFonts w:ascii="Aptos" w:hAnsi="Aptos" w:cs="Times New Roman"/>
          <w:sz w:val="22"/>
          <w:szCs w:val="22"/>
        </w:rPr>
        <w:t>-</w:t>
      </w:r>
      <w:r w:rsidRPr="35346A3A">
        <w:rPr>
          <w:rFonts w:ascii="Aptos" w:hAnsi="Aptos" w:cs="Times New Roman"/>
          <w:sz w:val="22"/>
          <w:szCs w:val="22"/>
        </w:rPr>
        <w:t xml:space="preserve">party repositories, depending on who </w:t>
      </w:r>
      <w:r w:rsidR="008211ED" w:rsidRPr="35346A3A">
        <w:rPr>
          <w:rFonts w:ascii="Aptos" w:hAnsi="Aptos" w:cs="Times New Roman"/>
          <w:sz w:val="22"/>
          <w:szCs w:val="22"/>
        </w:rPr>
        <w:t>operates</w:t>
      </w:r>
      <w:r w:rsidRPr="35346A3A">
        <w:rPr>
          <w:rFonts w:ascii="Aptos" w:hAnsi="Aptos" w:cs="Times New Roman"/>
          <w:sz w:val="22"/>
          <w:szCs w:val="22"/>
        </w:rPr>
        <w:t xml:space="preserve"> the repository</w:t>
      </w:r>
      <w:r w:rsidR="008211ED" w:rsidRPr="35346A3A">
        <w:rPr>
          <w:rFonts w:ascii="Aptos" w:hAnsi="Aptos" w:cs="Times New Roman"/>
          <w:sz w:val="22"/>
          <w:szCs w:val="22"/>
        </w:rPr>
        <w:t xml:space="preserve">, </w:t>
      </w:r>
      <w:r w:rsidRPr="35346A3A">
        <w:rPr>
          <w:rFonts w:ascii="Aptos" w:hAnsi="Aptos" w:cs="Times New Roman"/>
          <w:sz w:val="22"/>
          <w:szCs w:val="22"/>
        </w:rPr>
        <w:t>whether the deposit is federally required</w:t>
      </w:r>
      <w:r w:rsidR="008211ED" w:rsidRPr="35346A3A">
        <w:rPr>
          <w:rFonts w:ascii="Aptos" w:hAnsi="Aptos" w:cs="Times New Roman"/>
          <w:sz w:val="22"/>
          <w:szCs w:val="22"/>
        </w:rPr>
        <w:t xml:space="preserve">, and </w:t>
      </w:r>
      <w:r w:rsidR="0076266A" w:rsidRPr="35346A3A">
        <w:rPr>
          <w:rFonts w:ascii="Aptos" w:hAnsi="Aptos" w:cs="Times New Roman"/>
          <w:sz w:val="22"/>
          <w:szCs w:val="22"/>
        </w:rPr>
        <w:t>if the data exceeds the thresholds</w:t>
      </w:r>
      <w:r w:rsidRPr="35346A3A">
        <w:rPr>
          <w:rFonts w:ascii="Aptos" w:hAnsi="Aptos" w:cs="Times New Roman"/>
          <w:sz w:val="22"/>
          <w:szCs w:val="22"/>
        </w:rPr>
        <w:t>.</w:t>
      </w:r>
    </w:p>
    <w:p w14:paraId="0D0867A1" w14:textId="3D262E6C" w:rsidR="009F14EF" w:rsidRPr="007858C8" w:rsidRDefault="009F14EF" w:rsidP="00A921A7">
      <w:pPr>
        <w:pStyle w:val="ListParagraph"/>
        <w:numPr>
          <w:ilvl w:val="0"/>
          <w:numId w:val="30"/>
        </w:numPr>
        <w:pBdr>
          <w:bottom w:val="dotted" w:sz="4" w:space="1" w:color="auto"/>
        </w:pBdr>
        <w:spacing w:before="200" w:after="200"/>
        <w:ind w:right="2880"/>
        <w:jc w:val="both"/>
        <w:rPr>
          <w:rFonts w:ascii="Lora" w:hAnsi="Lora" w:cs="Times New Roman"/>
          <w:color w:val="134633" w:themeColor="accent1"/>
          <w:sz w:val="22"/>
          <w:szCs w:val="22"/>
        </w:rPr>
      </w:pPr>
      <w:r w:rsidRPr="007858C8">
        <w:rPr>
          <w:rFonts w:ascii="Lora" w:hAnsi="Lora" w:cs="Times New Roman"/>
          <w:color w:val="134633" w:themeColor="accent1"/>
          <w:sz w:val="22"/>
          <w:szCs w:val="22"/>
        </w:rPr>
        <w:t>Federally Required Repositories</w:t>
      </w:r>
    </w:p>
    <w:p w14:paraId="167C439D" w14:textId="06A3E751" w:rsidR="009F14EF" w:rsidRPr="00A21BAA" w:rsidRDefault="009F14EF" w:rsidP="00A921A7">
      <w:pPr>
        <w:spacing w:before="200" w:after="200"/>
        <w:ind w:left="720"/>
        <w:jc w:val="both"/>
        <w:rPr>
          <w:rFonts w:ascii="Aptos" w:hAnsi="Aptos" w:cs="Times New Roman"/>
          <w:sz w:val="22"/>
          <w:szCs w:val="22"/>
        </w:rPr>
      </w:pPr>
      <w:r w:rsidRPr="00A21BAA">
        <w:rPr>
          <w:rFonts w:ascii="Aptos" w:hAnsi="Aptos" w:cs="Times New Roman"/>
          <w:sz w:val="22"/>
          <w:szCs w:val="22"/>
        </w:rPr>
        <w:t>If federal</w:t>
      </w:r>
      <w:r w:rsidR="003A14D8">
        <w:rPr>
          <w:rFonts w:ascii="Aptos" w:hAnsi="Aptos" w:cs="Times New Roman"/>
          <w:sz w:val="22"/>
          <w:szCs w:val="22"/>
        </w:rPr>
        <w:t>ly supported research</w:t>
      </w:r>
      <w:r w:rsidRPr="00A21BAA">
        <w:rPr>
          <w:rFonts w:ascii="Aptos" w:hAnsi="Aptos" w:cs="Times New Roman"/>
          <w:sz w:val="22"/>
          <w:szCs w:val="22"/>
        </w:rPr>
        <w:t xml:space="preserve"> requires or authorizes data deposit (e.g., NIH</w:t>
      </w:r>
      <w:r w:rsidR="00127AB0">
        <w:rPr>
          <w:rFonts w:ascii="Aptos" w:hAnsi="Aptos" w:cs="Times New Roman"/>
          <w:sz w:val="22"/>
          <w:szCs w:val="22"/>
        </w:rPr>
        <w:t xml:space="preserve"> hosted repositories such as </w:t>
      </w:r>
      <w:r w:rsidR="00CF6784">
        <w:rPr>
          <w:rFonts w:ascii="Aptos" w:hAnsi="Aptos" w:cs="Times New Roman"/>
          <w:sz w:val="22"/>
          <w:szCs w:val="22"/>
        </w:rPr>
        <w:t xml:space="preserve">the Database of Genotypes and Phenotypes, or </w:t>
      </w:r>
      <w:proofErr w:type="spellStart"/>
      <w:r w:rsidR="00127AB0">
        <w:rPr>
          <w:rFonts w:ascii="Aptos" w:hAnsi="Aptos" w:cs="Times New Roman"/>
          <w:sz w:val="22"/>
          <w:szCs w:val="22"/>
        </w:rPr>
        <w:t>dbGaP</w:t>
      </w:r>
      <w:proofErr w:type="spellEnd"/>
      <w:r w:rsidRPr="00A21BAA">
        <w:rPr>
          <w:rFonts w:ascii="Aptos" w:hAnsi="Aptos" w:cs="Times New Roman"/>
          <w:sz w:val="22"/>
          <w:szCs w:val="22"/>
        </w:rPr>
        <w:t>):</w:t>
      </w:r>
    </w:p>
    <w:p w14:paraId="383A9363" w14:textId="3B77B83E" w:rsidR="009F14EF" w:rsidRPr="00CE4ABB" w:rsidRDefault="009F14EF" w:rsidP="00A921A7">
      <w:pPr>
        <w:numPr>
          <w:ilvl w:val="0"/>
          <w:numId w:val="15"/>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t xml:space="preserve">The submission is generally </w:t>
      </w:r>
      <w:r w:rsidRPr="003E7693">
        <w:rPr>
          <w:rFonts w:ascii="Aptos" w:hAnsi="Aptos" w:cs="Times New Roman"/>
          <w:sz w:val="22"/>
          <w:szCs w:val="22"/>
        </w:rPr>
        <w:t>exempt,</w:t>
      </w:r>
      <w:r w:rsidRPr="00CE4ABB">
        <w:rPr>
          <w:rFonts w:ascii="Aptos" w:hAnsi="Aptos" w:cs="Times New Roman"/>
          <w:sz w:val="22"/>
          <w:szCs w:val="22"/>
        </w:rPr>
        <w:t xml:space="preserve"> as it is </w:t>
      </w:r>
      <w:r w:rsidR="003E7693">
        <w:rPr>
          <w:rFonts w:ascii="Aptos" w:hAnsi="Aptos" w:cs="Times New Roman"/>
          <w:sz w:val="22"/>
          <w:szCs w:val="22"/>
        </w:rPr>
        <w:t>considered</w:t>
      </w:r>
      <w:r w:rsidRPr="00CE4ABB">
        <w:rPr>
          <w:rFonts w:ascii="Aptos" w:hAnsi="Aptos" w:cs="Times New Roman"/>
          <w:sz w:val="22"/>
          <w:szCs w:val="22"/>
        </w:rPr>
        <w:t xml:space="preserve"> official business</w:t>
      </w:r>
      <w:r w:rsidR="003E7693">
        <w:rPr>
          <w:rFonts w:ascii="Aptos" w:hAnsi="Aptos" w:cs="Times New Roman"/>
          <w:sz w:val="22"/>
          <w:szCs w:val="22"/>
        </w:rPr>
        <w:t xml:space="preserve"> </w:t>
      </w:r>
      <w:r w:rsidR="003E7693" w:rsidRPr="00CE4ABB">
        <w:rPr>
          <w:rFonts w:ascii="Aptos" w:hAnsi="Aptos" w:cs="Times New Roman"/>
          <w:sz w:val="22"/>
          <w:szCs w:val="22"/>
        </w:rPr>
        <w:t xml:space="preserve">of the </w:t>
      </w:r>
      <w:r w:rsidR="003E7693">
        <w:rPr>
          <w:rFonts w:ascii="Aptos" w:hAnsi="Aptos" w:cs="Times New Roman"/>
          <w:sz w:val="22"/>
          <w:szCs w:val="22"/>
        </w:rPr>
        <w:t xml:space="preserve">U.S. </w:t>
      </w:r>
      <w:r w:rsidR="003E7693" w:rsidRPr="00CE4ABB">
        <w:rPr>
          <w:rFonts w:ascii="Aptos" w:hAnsi="Aptos" w:cs="Times New Roman"/>
          <w:sz w:val="22"/>
          <w:szCs w:val="22"/>
        </w:rPr>
        <w:t>federal government</w:t>
      </w:r>
      <w:r w:rsidRPr="00CE4ABB">
        <w:rPr>
          <w:rFonts w:ascii="Aptos" w:hAnsi="Aptos" w:cs="Times New Roman"/>
          <w:sz w:val="22"/>
          <w:szCs w:val="22"/>
        </w:rPr>
        <w:t>.</w:t>
      </w:r>
    </w:p>
    <w:p w14:paraId="3A34FD07" w14:textId="6C61B498" w:rsidR="009F14EF" w:rsidRPr="00CE4ABB" w:rsidRDefault="009F14EF" w:rsidP="00A921A7">
      <w:pPr>
        <w:numPr>
          <w:ilvl w:val="0"/>
          <w:numId w:val="15"/>
        </w:numPr>
        <w:tabs>
          <w:tab w:val="clear" w:pos="720"/>
          <w:tab w:val="num" w:pos="1440"/>
        </w:tabs>
        <w:spacing w:before="200" w:after="200"/>
        <w:ind w:left="1440"/>
        <w:jc w:val="both"/>
        <w:rPr>
          <w:rFonts w:ascii="Aptos" w:hAnsi="Aptos" w:cs="Times New Roman"/>
          <w:sz w:val="22"/>
          <w:szCs w:val="22"/>
        </w:rPr>
      </w:pPr>
      <w:r w:rsidRPr="35346A3A">
        <w:rPr>
          <w:rFonts w:ascii="Aptos" w:hAnsi="Aptos" w:cs="Times New Roman"/>
          <w:sz w:val="22"/>
          <w:szCs w:val="22"/>
        </w:rPr>
        <w:t xml:space="preserve">Researchers must still comply with </w:t>
      </w:r>
      <w:r w:rsidR="00DE20C9" w:rsidRPr="35346A3A">
        <w:rPr>
          <w:rFonts w:ascii="Aptos" w:hAnsi="Aptos" w:cs="Times New Roman"/>
          <w:sz w:val="22"/>
          <w:szCs w:val="22"/>
        </w:rPr>
        <w:t xml:space="preserve">any </w:t>
      </w:r>
      <w:r w:rsidRPr="35346A3A">
        <w:rPr>
          <w:rFonts w:ascii="Aptos" w:hAnsi="Aptos" w:cs="Times New Roman"/>
          <w:sz w:val="22"/>
          <w:szCs w:val="22"/>
        </w:rPr>
        <w:t>agency</w:t>
      </w:r>
      <w:r w:rsidR="008E03D8">
        <w:rPr>
          <w:rFonts w:ascii="Aptos" w:hAnsi="Aptos" w:cs="Times New Roman"/>
          <w:sz w:val="22"/>
          <w:szCs w:val="22"/>
        </w:rPr>
        <w:t>-</w:t>
      </w:r>
      <w:r w:rsidRPr="35346A3A">
        <w:rPr>
          <w:rFonts w:ascii="Aptos" w:hAnsi="Aptos" w:cs="Times New Roman"/>
          <w:sz w:val="22"/>
          <w:szCs w:val="22"/>
        </w:rPr>
        <w:t xml:space="preserve">specific </w:t>
      </w:r>
      <w:r w:rsidR="00C47868" w:rsidRPr="35346A3A">
        <w:rPr>
          <w:rFonts w:ascii="Aptos" w:hAnsi="Aptos" w:cs="Times New Roman"/>
          <w:sz w:val="22"/>
          <w:szCs w:val="22"/>
        </w:rPr>
        <w:t xml:space="preserve">restrictions </w:t>
      </w:r>
      <w:r w:rsidR="00DE20C9" w:rsidRPr="35346A3A">
        <w:rPr>
          <w:rFonts w:ascii="Aptos" w:hAnsi="Aptos" w:cs="Times New Roman"/>
          <w:sz w:val="22"/>
          <w:szCs w:val="22"/>
        </w:rPr>
        <w:t>that may be imposed in the future</w:t>
      </w:r>
      <w:r w:rsidRPr="35346A3A">
        <w:rPr>
          <w:rFonts w:ascii="Aptos" w:hAnsi="Aptos" w:cs="Times New Roman"/>
          <w:sz w:val="22"/>
          <w:szCs w:val="22"/>
        </w:rPr>
        <w:t>.</w:t>
      </w:r>
    </w:p>
    <w:p w14:paraId="5247D66F" w14:textId="18A3BF76" w:rsidR="00140B78" w:rsidRPr="00140B78" w:rsidRDefault="00B2294F" w:rsidP="00140B78">
      <w:pPr>
        <w:pStyle w:val="ListParagraph"/>
        <w:numPr>
          <w:ilvl w:val="0"/>
          <w:numId w:val="30"/>
        </w:numPr>
        <w:pBdr>
          <w:bottom w:val="dotted" w:sz="4" w:space="1" w:color="auto"/>
        </w:pBdr>
        <w:spacing w:before="200" w:after="200"/>
        <w:ind w:right="2880"/>
        <w:jc w:val="both"/>
        <w:rPr>
          <w:rFonts w:ascii="Lora" w:hAnsi="Lora" w:cs="Times New Roman"/>
          <w:color w:val="134633" w:themeColor="accent1"/>
          <w:sz w:val="22"/>
          <w:szCs w:val="22"/>
        </w:rPr>
      </w:pPr>
      <w:r>
        <w:rPr>
          <w:rFonts w:ascii="Lora" w:hAnsi="Lora" w:cs="Times New Roman"/>
          <w:color w:val="134633" w:themeColor="accent1"/>
          <w:sz w:val="22"/>
          <w:szCs w:val="22"/>
        </w:rPr>
        <w:t>Voluntary or Non-Federal Deposits</w:t>
      </w:r>
    </w:p>
    <w:p w14:paraId="166D403B" w14:textId="7711DE5F" w:rsidR="009F14EF" w:rsidRPr="00CE4ABB" w:rsidRDefault="009F14EF" w:rsidP="003D5550">
      <w:pPr>
        <w:spacing w:before="200" w:after="200"/>
        <w:ind w:left="720"/>
        <w:jc w:val="both"/>
        <w:rPr>
          <w:rFonts w:ascii="Aptos" w:hAnsi="Aptos" w:cs="Times New Roman"/>
          <w:sz w:val="22"/>
          <w:szCs w:val="22"/>
        </w:rPr>
      </w:pPr>
      <w:r w:rsidRPr="00CE4ABB">
        <w:rPr>
          <w:rFonts w:ascii="Aptos" w:hAnsi="Aptos" w:cs="Times New Roman"/>
          <w:sz w:val="22"/>
          <w:szCs w:val="22"/>
        </w:rPr>
        <w:t xml:space="preserve">If </w:t>
      </w:r>
      <w:r w:rsidR="00F95BF2">
        <w:rPr>
          <w:rFonts w:ascii="Aptos" w:hAnsi="Aptos" w:cs="Times New Roman"/>
          <w:sz w:val="22"/>
          <w:szCs w:val="22"/>
        </w:rPr>
        <w:t xml:space="preserve">the </w:t>
      </w:r>
      <w:r w:rsidRPr="00CE4ABB">
        <w:rPr>
          <w:rFonts w:ascii="Aptos" w:hAnsi="Aptos" w:cs="Times New Roman"/>
          <w:sz w:val="22"/>
          <w:szCs w:val="22"/>
        </w:rPr>
        <w:t xml:space="preserve">data </w:t>
      </w:r>
      <w:r w:rsidR="00F95BF2">
        <w:rPr>
          <w:rFonts w:ascii="Aptos" w:hAnsi="Aptos" w:cs="Times New Roman"/>
          <w:sz w:val="22"/>
          <w:szCs w:val="22"/>
        </w:rPr>
        <w:t>deposit</w:t>
      </w:r>
      <w:r w:rsidRPr="00CE4ABB">
        <w:rPr>
          <w:rFonts w:ascii="Aptos" w:hAnsi="Aptos" w:cs="Times New Roman"/>
          <w:sz w:val="22"/>
          <w:szCs w:val="22"/>
        </w:rPr>
        <w:t xml:space="preserve"> is not federally mandated and </w:t>
      </w:r>
      <w:r w:rsidR="00F95BF2">
        <w:rPr>
          <w:rFonts w:ascii="Aptos" w:hAnsi="Aptos" w:cs="Times New Roman"/>
          <w:sz w:val="22"/>
          <w:szCs w:val="22"/>
        </w:rPr>
        <w:t>it</w:t>
      </w:r>
      <w:r w:rsidRPr="00CE4ABB">
        <w:rPr>
          <w:rFonts w:ascii="Aptos" w:hAnsi="Aptos" w:cs="Times New Roman"/>
          <w:sz w:val="22"/>
          <w:szCs w:val="22"/>
        </w:rPr>
        <w:t xml:space="preserve"> exceeds the bulk thresholds:</w:t>
      </w:r>
    </w:p>
    <w:p w14:paraId="7845D7DE" w14:textId="77777777" w:rsidR="009F14EF" w:rsidRPr="00CE4ABB" w:rsidRDefault="009F14EF" w:rsidP="003D5550">
      <w:pPr>
        <w:spacing w:before="200" w:after="200"/>
        <w:ind w:left="720"/>
        <w:jc w:val="both"/>
        <w:rPr>
          <w:rFonts w:ascii="Aptos" w:hAnsi="Aptos" w:cs="Times New Roman"/>
          <w:sz w:val="22"/>
          <w:szCs w:val="22"/>
        </w:rPr>
      </w:pPr>
      <w:r w:rsidRPr="00CE4ABB">
        <w:rPr>
          <w:rFonts w:ascii="Aptos" w:hAnsi="Aptos" w:cs="Times New Roman"/>
          <w:sz w:val="22"/>
          <w:szCs w:val="22"/>
        </w:rPr>
        <w:t>UVM must determine:</w:t>
      </w:r>
    </w:p>
    <w:p w14:paraId="2A7767F2" w14:textId="79F7E756" w:rsidR="009F14EF" w:rsidRPr="00CE4ABB" w:rsidRDefault="009F14EF" w:rsidP="003D5550">
      <w:pPr>
        <w:numPr>
          <w:ilvl w:val="0"/>
          <w:numId w:val="16"/>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t>Whether the repository is a Covered Person</w:t>
      </w:r>
      <w:r w:rsidR="00A32BA3">
        <w:rPr>
          <w:rFonts w:ascii="Aptos" w:hAnsi="Aptos" w:cs="Times New Roman"/>
          <w:sz w:val="22"/>
          <w:szCs w:val="22"/>
        </w:rPr>
        <w:t xml:space="preserve"> or </w:t>
      </w:r>
      <w:proofErr w:type="gramStart"/>
      <w:r w:rsidR="00A32BA3">
        <w:rPr>
          <w:rFonts w:ascii="Aptos" w:hAnsi="Aptos" w:cs="Times New Roman"/>
          <w:sz w:val="22"/>
          <w:szCs w:val="22"/>
        </w:rPr>
        <w:t>Entity</w:t>
      </w:r>
      <w:r w:rsidR="00B1048C">
        <w:rPr>
          <w:rFonts w:ascii="Aptos" w:hAnsi="Aptos" w:cs="Times New Roman"/>
          <w:sz w:val="22"/>
          <w:szCs w:val="22"/>
        </w:rPr>
        <w:t>;</w:t>
      </w:r>
      <w:proofErr w:type="gramEnd"/>
    </w:p>
    <w:p w14:paraId="41DB71FA" w14:textId="3672BB1D" w:rsidR="009F14EF" w:rsidRPr="00CE4ABB" w:rsidRDefault="009F14EF" w:rsidP="003D5550">
      <w:pPr>
        <w:numPr>
          <w:ilvl w:val="0"/>
          <w:numId w:val="16"/>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t xml:space="preserve">Whether the repository </w:t>
      </w:r>
      <w:r w:rsidR="00A32BA3">
        <w:rPr>
          <w:rFonts w:ascii="Aptos" w:hAnsi="Aptos" w:cs="Times New Roman"/>
          <w:sz w:val="22"/>
          <w:szCs w:val="22"/>
        </w:rPr>
        <w:t xml:space="preserve">is operated by </w:t>
      </w:r>
      <w:r w:rsidRPr="00CE4ABB">
        <w:rPr>
          <w:rFonts w:ascii="Aptos" w:hAnsi="Aptos" w:cs="Times New Roman"/>
          <w:sz w:val="22"/>
          <w:szCs w:val="22"/>
        </w:rPr>
        <w:t>a Covered Person</w:t>
      </w:r>
      <w:r w:rsidR="00A32BA3">
        <w:rPr>
          <w:rFonts w:ascii="Aptos" w:hAnsi="Aptos" w:cs="Times New Roman"/>
          <w:sz w:val="22"/>
          <w:szCs w:val="22"/>
        </w:rPr>
        <w:t xml:space="preserve"> or </w:t>
      </w:r>
      <w:proofErr w:type="gramStart"/>
      <w:r w:rsidR="00A32BA3">
        <w:rPr>
          <w:rFonts w:ascii="Aptos" w:hAnsi="Aptos" w:cs="Times New Roman"/>
          <w:sz w:val="22"/>
          <w:szCs w:val="22"/>
        </w:rPr>
        <w:t>Entity</w:t>
      </w:r>
      <w:r w:rsidR="00B1048C">
        <w:rPr>
          <w:rFonts w:ascii="Aptos" w:hAnsi="Aptos" w:cs="Times New Roman"/>
          <w:sz w:val="22"/>
          <w:szCs w:val="22"/>
        </w:rPr>
        <w:t>;</w:t>
      </w:r>
      <w:proofErr w:type="gramEnd"/>
    </w:p>
    <w:p w14:paraId="1AB04D1A" w14:textId="6A811E86" w:rsidR="009F14EF" w:rsidRPr="00CE4ABB" w:rsidRDefault="009F14EF" w:rsidP="003D5550">
      <w:pPr>
        <w:numPr>
          <w:ilvl w:val="0"/>
          <w:numId w:val="16"/>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t>Whether UVM receives any “valuable consideration” (e.g., tools, analytics</w:t>
      </w:r>
      <w:r w:rsidR="00B1048C">
        <w:rPr>
          <w:rFonts w:ascii="Aptos" w:hAnsi="Aptos" w:cs="Times New Roman"/>
          <w:sz w:val="22"/>
          <w:szCs w:val="22"/>
        </w:rPr>
        <w:t>, access to data, or services</w:t>
      </w:r>
      <w:r w:rsidRPr="00CE4ABB">
        <w:rPr>
          <w:rFonts w:ascii="Aptos" w:hAnsi="Aptos" w:cs="Times New Roman"/>
          <w:sz w:val="22"/>
          <w:szCs w:val="22"/>
        </w:rPr>
        <w:t xml:space="preserve">) in exchange for </w:t>
      </w:r>
      <w:r w:rsidR="00B1048C">
        <w:rPr>
          <w:rFonts w:ascii="Aptos" w:hAnsi="Aptos" w:cs="Times New Roman"/>
          <w:sz w:val="22"/>
          <w:szCs w:val="22"/>
        </w:rPr>
        <w:t xml:space="preserve">the </w:t>
      </w:r>
      <w:r w:rsidRPr="00CE4ABB">
        <w:rPr>
          <w:rFonts w:ascii="Aptos" w:hAnsi="Aptos" w:cs="Times New Roman"/>
          <w:sz w:val="22"/>
          <w:szCs w:val="22"/>
        </w:rPr>
        <w:t>deposit</w:t>
      </w:r>
      <w:r w:rsidR="00B1048C">
        <w:rPr>
          <w:rFonts w:ascii="Aptos" w:hAnsi="Aptos" w:cs="Times New Roman"/>
          <w:sz w:val="22"/>
          <w:szCs w:val="22"/>
        </w:rPr>
        <w:t xml:space="preserve"> of data.</w:t>
      </w:r>
    </w:p>
    <w:p w14:paraId="1ABF5637" w14:textId="4498600C" w:rsidR="00BB253D" w:rsidRPr="00BB253D" w:rsidRDefault="00BB253D" w:rsidP="00BB253D">
      <w:pPr>
        <w:pStyle w:val="ListParagraph"/>
        <w:numPr>
          <w:ilvl w:val="0"/>
          <w:numId w:val="30"/>
        </w:numPr>
        <w:pBdr>
          <w:bottom w:val="dotted" w:sz="4" w:space="1" w:color="auto"/>
        </w:pBdr>
        <w:spacing w:before="200" w:after="200"/>
        <w:ind w:right="2880"/>
        <w:jc w:val="both"/>
        <w:rPr>
          <w:rFonts w:ascii="Lora" w:hAnsi="Lora" w:cs="Times New Roman"/>
          <w:color w:val="134633" w:themeColor="accent1"/>
          <w:sz w:val="22"/>
          <w:szCs w:val="22"/>
        </w:rPr>
      </w:pPr>
      <w:r>
        <w:rPr>
          <w:rFonts w:ascii="Lora" w:hAnsi="Lora" w:cs="Times New Roman"/>
          <w:color w:val="134633" w:themeColor="accent1"/>
          <w:sz w:val="22"/>
          <w:szCs w:val="22"/>
        </w:rPr>
        <w:t>Open Access</w:t>
      </w:r>
      <w:r w:rsidRPr="00BB253D">
        <w:rPr>
          <w:rFonts w:ascii="Lora" w:hAnsi="Lora" w:cs="Times New Roman"/>
          <w:color w:val="134633" w:themeColor="accent1"/>
          <w:sz w:val="22"/>
          <w:szCs w:val="22"/>
        </w:rPr>
        <w:t xml:space="preserve"> Repositories</w:t>
      </w:r>
    </w:p>
    <w:p w14:paraId="7AC171BA" w14:textId="77579FCF" w:rsidR="009F14EF" w:rsidRPr="00CE4ABB" w:rsidRDefault="009F14EF" w:rsidP="007F371D">
      <w:pPr>
        <w:spacing w:before="200" w:after="200"/>
        <w:ind w:left="720"/>
        <w:jc w:val="both"/>
        <w:rPr>
          <w:rFonts w:ascii="Aptos" w:hAnsi="Aptos" w:cs="Times New Roman"/>
          <w:sz w:val="22"/>
          <w:szCs w:val="22"/>
        </w:rPr>
      </w:pPr>
      <w:r w:rsidRPr="00CE4ABB">
        <w:rPr>
          <w:rFonts w:ascii="Aptos" w:hAnsi="Aptos" w:cs="Times New Roman"/>
          <w:sz w:val="22"/>
          <w:szCs w:val="22"/>
        </w:rPr>
        <w:t xml:space="preserve">Labeling a repository “open access” </w:t>
      </w:r>
      <w:r w:rsidRPr="007F371D">
        <w:rPr>
          <w:rFonts w:ascii="Aptos" w:hAnsi="Aptos" w:cs="Times New Roman"/>
          <w:sz w:val="22"/>
          <w:szCs w:val="22"/>
        </w:rPr>
        <w:t>does not exempt a</w:t>
      </w:r>
      <w:r w:rsidRPr="00CE4ABB">
        <w:rPr>
          <w:rFonts w:ascii="Aptos" w:hAnsi="Aptos" w:cs="Times New Roman"/>
          <w:sz w:val="22"/>
          <w:szCs w:val="22"/>
        </w:rPr>
        <w:t xml:space="preserve"> deposit.</w:t>
      </w:r>
      <w:r w:rsidR="007F371D">
        <w:rPr>
          <w:rFonts w:ascii="Aptos" w:hAnsi="Aptos" w:cs="Times New Roman"/>
          <w:sz w:val="22"/>
          <w:szCs w:val="22"/>
        </w:rPr>
        <w:t xml:space="preserve"> </w:t>
      </w:r>
      <w:r w:rsidRPr="00CE4ABB">
        <w:rPr>
          <w:rFonts w:ascii="Aptos" w:hAnsi="Aptos" w:cs="Times New Roman"/>
          <w:sz w:val="22"/>
          <w:szCs w:val="22"/>
        </w:rPr>
        <w:t xml:space="preserve">Until </w:t>
      </w:r>
      <w:r w:rsidR="00954FD2">
        <w:rPr>
          <w:rFonts w:ascii="Aptos" w:hAnsi="Aptos" w:cs="Times New Roman"/>
          <w:sz w:val="22"/>
          <w:szCs w:val="22"/>
        </w:rPr>
        <w:t xml:space="preserve">such time as the </w:t>
      </w:r>
      <w:r w:rsidRPr="00CE4ABB">
        <w:rPr>
          <w:rFonts w:ascii="Aptos" w:hAnsi="Aptos" w:cs="Times New Roman"/>
          <w:sz w:val="22"/>
          <w:szCs w:val="22"/>
        </w:rPr>
        <w:t>data become</w:t>
      </w:r>
      <w:r w:rsidR="00954FD2">
        <w:rPr>
          <w:rFonts w:ascii="Aptos" w:hAnsi="Aptos" w:cs="Times New Roman"/>
          <w:sz w:val="22"/>
          <w:szCs w:val="22"/>
        </w:rPr>
        <w:t>s</w:t>
      </w:r>
      <w:r w:rsidRPr="00CE4ABB">
        <w:rPr>
          <w:rFonts w:ascii="Aptos" w:hAnsi="Aptos" w:cs="Times New Roman"/>
          <w:sz w:val="22"/>
          <w:szCs w:val="22"/>
        </w:rPr>
        <w:t xml:space="preserve"> publicly available without restriction, </w:t>
      </w:r>
      <w:r w:rsidR="00954FD2">
        <w:rPr>
          <w:rFonts w:ascii="Aptos" w:hAnsi="Aptos" w:cs="Times New Roman"/>
          <w:sz w:val="22"/>
          <w:szCs w:val="22"/>
        </w:rPr>
        <w:t>the Bulk Data Rule may</w:t>
      </w:r>
      <w:r w:rsidRPr="00CE4ABB">
        <w:rPr>
          <w:rFonts w:ascii="Aptos" w:hAnsi="Aptos" w:cs="Times New Roman"/>
          <w:sz w:val="22"/>
          <w:szCs w:val="22"/>
        </w:rPr>
        <w:t xml:space="preserve"> apply.</w:t>
      </w:r>
    </w:p>
    <w:p w14:paraId="45C1ECAE" w14:textId="4F58DEE1" w:rsidR="00954FD2" w:rsidRPr="007858C8" w:rsidRDefault="00954FD2" w:rsidP="00954FD2">
      <w:pPr>
        <w:pStyle w:val="ListParagraph"/>
        <w:numPr>
          <w:ilvl w:val="0"/>
          <w:numId w:val="30"/>
        </w:numPr>
        <w:pBdr>
          <w:bottom w:val="dotted" w:sz="4" w:space="1" w:color="auto"/>
        </w:pBdr>
        <w:spacing w:before="200" w:after="200"/>
        <w:ind w:right="2880"/>
        <w:jc w:val="both"/>
        <w:rPr>
          <w:rFonts w:ascii="Lora" w:hAnsi="Lora" w:cs="Times New Roman"/>
          <w:color w:val="134633" w:themeColor="accent1"/>
          <w:sz w:val="22"/>
          <w:szCs w:val="22"/>
        </w:rPr>
      </w:pPr>
      <w:r>
        <w:rPr>
          <w:rFonts w:ascii="Lora" w:hAnsi="Lora" w:cs="Times New Roman"/>
          <w:color w:val="134633" w:themeColor="accent1"/>
          <w:sz w:val="22"/>
          <w:szCs w:val="22"/>
        </w:rPr>
        <w:t>Required Due Diligence</w:t>
      </w:r>
    </w:p>
    <w:p w14:paraId="08C5D833" w14:textId="3D428F81" w:rsidR="009F14EF" w:rsidRPr="00CE4ABB" w:rsidRDefault="00954FD2" w:rsidP="00954FD2">
      <w:pPr>
        <w:spacing w:before="200" w:after="200"/>
        <w:ind w:left="720"/>
        <w:jc w:val="both"/>
        <w:rPr>
          <w:rFonts w:ascii="Aptos" w:hAnsi="Aptos" w:cs="Times New Roman"/>
          <w:sz w:val="22"/>
          <w:szCs w:val="22"/>
        </w:rPr>
      </w:pPr>
      <w:r>
        <w:rPr>
          <w:rFonts w:ascii="Aptos" w:hAnsi="Aptos" w:cs="Times New Roman"/>
          <w:sz w:val="22"/>
          <w:szCs w:val="22"/>
        </w:rPr>
        <w:t>Before depositing data</w:t>
      </w:r>
      <w:r w:rsidR="00E13FB2">
        <w:rPr>
          <w:rFonts w:ascii="Aptos" w:hAnsi="Aptos" w:cs="Times New Roman"/>
          <w:sz w:val="22"/>
          <w:szCs w:val="22"/>
        </w:rPr>
        <w:t xml:space="preserve"> into any non-UVM repository, r</w:t>
      </w:r>
      <w:r w:rsidR="009F14EF" w:rsidRPr="00CE4ABB">
        <w:rPr>
          <w:rFonts w:ascii="Aptos" w:hAnsi="Aptos" w:cs="Times New Roman"/>
          <w:sz w:val="22"/>
          <w:szCs w:val="22"/>
        </w:rPr>
        <w:t>esearchers and staff must:</w:t>
      </w:r>
    </w:p>
    <w:p w14:paraId="2903E403" w14:textId="18512D82" w:rsidR="009F14EF" w:rsidRPr="00CE4ABB" w:rsidRDefault="009F14EF" w:rsidP="00954FD2">
      <w:pPr>
        <w:numPr>
          <w:ilvl w:val="0"/>
          <w:numId w:val="17"/>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lastRenderedPageBreak/>
        <w:t>Confirm the repository is not a Covered Person</w:t>
      </w:r>
      <w:r w:rsidR="00E13FB2">
        <w:rPr>
          <w:rFonts w:ascii="Aptos" w:hAnsi="Aptos" w:cs="Times New Roman"/>
          <w:sz w:val="22"/>
          <w:szCs w:val="22"/>
        </w:rPr>
        <w:t xml:space="preserve"> or </w:t>
      </w:r>
      <w:proofErr w:type="gramStart"/>
      <w:r w:rsidR="00E13FB2">
        <w:rPr>
          <w:rFonts w:ascii="Aptos" w:hAnsi="Aptos" w:cs="Times New Roman"/>
          <w:sz w:val="22"/>
          <w:szCs w:val="22"/>
        </w:rPr>
        <w:t>Entity;</w:t>
      </w:r>
      <w:proofErr w:type="gramEnd"/>
    </w:p>
    <w:p w14:paraId="5D504FEC" w14:textId="77EF1EA6" w:rsidR="0067367F" w:rsidRDefault="009F14EF" w:rsidP="0067367F">
      <w:pPr>
        <w:numPr>
          <w:ilvl w:val="0"/>
          <w:numId w:val="17"/>
        </w:numPr>
        <w:tabs>
          <w:tab w:val="clear" w:pos="720"/>
          <w:tab w:val="num" w:pos="1440"/>
        </w:tabs>
        <w:spacing w:before="200" w:after="200"/>
        <w:ind w:left="1440"/>
        <w:jc w:val="both"/>
        <w:rPr>
          <w:rFonts w:ascii="Aptos" w:hAnsi="Aptos" w:cs="Times New Roman"/>
          <w:sz w:val="22"/>
          <w:szCs w:val="22"/>
        </w:rPr>
      </w:pPr>
      <w:r w:rsidRPr="00CE4ABB">
        <w:rPr>
          <w:rFonts w:ascii="Aptos" w:hAnsi="Aptos" w:cs="Times New Roman"/>
          <w:sz w:val="22"/>
          <w:szCs w:val="22"/>
        </w:rPr>
        <w:t>Confirm it is not operated by a Covered Person</w:t>
      </w:r>
      <w:r w:rsidR="00E13FB2">
        <w:rPr>
          <w:rFonts w:ascii="Aptos" w:hAnsi="Aptos" w:cs="Times New Roman"/>
          <w:sz w:val="22"/>
          <w:szCs w:val="22"/>
        </w:rPr>
        <w:t xml:space="preserve"> or </w:t>
      </w:r>
      <w:proofErr w:type="gramStart"/>
      <w:r w:rsidR="00E13FB2">
        <w:rPr>
          <w:rFonts w:ascii="Aptos" w:hAnsi="Aptos" w:cs="Times New Roman"/>
          <w:sz w:val="22"/>
          <w:szCs w:val="22"/>
        </w:rPr>
        <w:t>Entity</w:t>
      </w:r>
      <w:r w:rsidR="00544823">
        <w:rPr>
          <w:rFonts w:ascii="Aptos" w:hAnsi="Aptos" w:cs="Times New Roman"/>
          <w:sz w:val="22"/>
          <w:szCs w:val="22"/>
        </w:rPr>
        <w:t>;</w:t>
      </w:r>
      <w:proofErr w:type="gramEnd"/>
    </w:p>
    <w:p w14:paraId="272B6D4B" w14:textId="13B3A842" w:rsidR="0067367F" w:rsidRDefault="00624009">
      <w:pPr>
        <w:numPr>
          <w:ilvl w:val="0"/>
          <w:numId w:val="17"/>
        </w:numPr>
        <w:tabs>
          <w:tab w:val="clear" w:pos="720"/>
          <w:tab w:val="num" w:pos="1440"/>
        </w:tabs>
        <w:spacing w:before="200" w:after="200"/>
        <w:ind w:left="1440"/>
        <w:jc w:val="both"/>
        <w:rPr>
          <w:rFonts w:ascii="Aptos" w:hAnsi="Aptos" w:cs="Times New Roman"/>
          <w:sz w:val="22"/>
          <w:szCs w:val="22"/>
        </w:rPr>
      </w:pPr>
      <w:r w:rsidRPr="0067367F">
        <w:rPr>
          <w:rFonts w:ascii="Aptos" w:hAnsi="Aptos" w:cs="Times New Roman"/>
          <w:sz w:val="22"/>
          <w:szCs w:val="22"/>
        </w:rPr>
        <w:t>Obtain v</w:t>
      </w:r>
      <w:r w:rsidR="009F14EF" w:rsidRPr="0067367F">
        <w:rPr>
          <w:rFonts w:ascii="Aptos" w:hAnsi="Aptos" w:cs="Times New Roman"/>
          <w:sz w:val="22"/>
          <w:szCs w:val="22"/>
        </w:rPr>
        <w:t xml:space="preserve">erification </w:t>
      </w:r>
      <w:r w:rsidRPr="0067367F">
        <w:rPr>
          <w:rFonts w:ascii="Aptos" w:hAnsi="Aptos" w:cs="Times New Roman"/>
          <w:sz w:val="22"/>
          <w:szCs w:val="22"/>
        </w:rPr>
        <w:t xml:space="preserve">from the OVPR that the repository is not a Covered Person or Entity and that it is not operated </w:t>
      </w:r>
      <w:r w:rsidR="00B02D2E" w:rsidRPr="0067367F">
        <w:rPr>
          <w:rFonts w:ascii="Aptos" w:hAnsi="Aptos" w:cs="Times New Roman"/>
          <w:sz w:val="22"/>
          <w:szCs w:val="22"/>
        </w:rPr>
        <w:t>by a Covered Person or Entity</w:t>
      </w:r>
      <w:r w:rsidR="009D3193">
        <w:rPr>
          <w:rFonts w:ascii="Aptos" w:hAnsi="Aptos" w:cs="Times New Roman"/>
          <w:sz w:val="22"/>
          <w:szCs w:val="22"/>
        </w:rPr>
        <w:t>; and</w:t>
      </w:r>
    </w:p>
    <w:p w14:paraId="2A3FF454" w14:textId="31D3A137" w:rsidR="009D3193" w:rsidRDefault="009D3193" w:rsidP="009D3193">
      <w:pPr>
        <w:numPr>
          <w:ilvl w:val="0"/>
          <w:numId w:val="17"/>
        </w:numPr>
        <w:tabs>
          <w:tab w:val="clear" w:pos="720"/>
        </w:tabs>
        <w:spacing w:before="200" w:after="200"/>
        <w:ind w:left="1440"/>
        <w:jc w:val="both"/>
        <w:rPr>
          <w:rFonts w:ascii="Aptos" w:hAnsi="Aptos" w:cs="Times New Roman"/>
          <w:sz w:val="22"/>
          <w:szCs w:val="22"/>
        </w:rPr>
      </w:pPr>
      <w:r>
        <w:rPr>
          <w:rFonts w:ascii="Aptos" w:hAnsi="Aptos" w:cs="Times New Roman"/>
          <w:sz w:val="22"/>
          <w:szCs w:val="22"/>
        </w:rPr>
        <w:t>T</w:t>
      </w:r>
      <w:r w:rsidRPr="00CE4ABB">
        <w:rPr>
          <w:rFonts w:ascii="Aptos" w:hAnsi="Aptos" w:cs="Times New Roman"/>
          <w:sz w:val="22"/>
          <w:szCs w:val="22"/>
        </w:rPr>
        <w:t>rack cumulative volumes shared with the same partner to ensure the 12</w:t>
      </w:r>
      <w:r w:rsidRPr="00CE4ABB">
        <w:rPr>
          <w:rFonts w:ascii="Aptos" w:hAnsi="Aptos" w:cs="Times New Roman"/>
          <w:sz w:val="22"/>
          <w:szCs w:val="22"/>
        </w:rPr>
        <w:noBreakHyphen/>
        <w:t>month thresholds are not exceeded unintentionally.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091FEE" w14:paraId="49B9A985" w14:textId="77777777">
        <w:tc>
          <w:tcPr>
            <w:tcW w:w="2155" w:type="dxa"/>
            <w:shd w:val="clear" w:color="auto" w:fill="FFD200"/>
          </w:tcPr>
          <w:p w14:paraId="3192043F" w14:textId="77777777" w:rsidR="00091FEE" w:rsidRPr="00AC4323" w:rsidRDefault="00091FEE">
            <w:pPr>
              <w:rPr>
                <w:rFonts w:ascii="Aptos" w:hAnsi="Aptos" w:cs="Times New Roman"/>
                <w:sz w:val="4"/>
                <w:szCs w:val="4"/>
              </w:rPr>
            </w:pPr>
          </w:p>
        </w:tc>
      </w:tr>
      <w:tr w:rsidR="00091FEE" w:rsidRPr="00AC4323" w14:paraId="61698FDA" w14:textId="77777777">
        <w:tc>
          <w:tcPr>
            <w:tcW w:w="2155" w:type="dxa"/>
            <w:shd w:val="clear" w:color="auto" w:fill="154733"/>
          </w:tcPr>
          <w:p w14:paraId="72A93BD7" w14:textId="77777777" w:rsidR="00091FEE" w:rsidRPr="00AC4323" w:rsidRDefault="00091FEE">
            <w:pPr>
              <w:rPr>
                <w:rFonts w:ascii="Aptos" w:hAnsi="Aptos" w:cs="Times New Roman"/>
                <w:sz w:val="10"/>
                <w:szCs w:val="10"/>
              </w:rPr>
            </w:pPr>
          </w:p>
        </w:tc>
      </w:tr>
    </w:tbl>
    <w:p w14:paraId="29C09BDA" w14:textId="6D6BDECF" w:rsidR="00091FEE" w:rsidRPr="009E1F87" w:rsidRDefault="00091FEE" w:rsidP="00091FEE">
      <w:pPr>
        <w:pBdr>
          <w:bottom w:val="dotted" w:sz="4" w:space="1" w:color="auto"/>
        </w:pBdr>
        <w:spacing w:before="200" w:after="200"/>
        <w:ind w:right="2880"/>
        <w:rPr>
          <w:rFonts w:ascii="Lora" w:hAnsi="Lora" w:cs="Times New Roman"/>
          <w:color w:val="134733"/>
        </w:rPr>
      </w:pPr>
      <w:r w:rsidRPr="00C42B0E">
        <w:rPr>
          <w:rFonts w:ascii="Lora" w:hAnsi="Lora" w:cs="Times New Roman"/>
          <w:color w:val="134733"/>
        </w:rPr>
        <w:t xml:space="preserve">Part </w:t>
      </w:r>
      <w:r>
        <w:rPr>
          <w:rFonts w:ascii="Lora" w:hAnsi="Lora" w:cs="Times New Roman"/>
          <w:color w:val="134733"/>
        </w:rPr>
        <w:t>VII</w:t>
      </w:r>
      <w:r w:rsidRPr="00C42B0E">
        <w:rPr>
          <w:rFonts w:ascii="Lora" w:hAnsi="Lora" w:cs="Times New Roman"/>
          <w:color w:val="134733"/>
        </w:rPr>
        <w:t xml:space="preserve">: </w:t>
      </w:r>
      <w:r>
        <w:rPr>
          <w:rFonts w:ascii="Lora" w:hAnsi="Lora" w:cs="Times New Roman"/>
          <w:color w:val="134733"/>
        </w:rPr>
        <w:t>Contacts</w:t>
      </w:r>
    </w:p>
    <w:p w14:paraId="4D7844C8" w14:textId="02F55094" w:rsidR="00091FEE" w:rsidRPr="009D3193" w:rsidRDefault="00133A4D" w:rsidP="00133A4D">
      <w:pPr>
        <w:spacing w:before="200" w:after="200"/>
        <w:jc w:val="both"/>
        <w:rPr>
          <w:rFonts w:ascii="Aptos" w:hAnsi="Aptos" w:cs="Times New Roman"/>
          <w:sz w:val="22"/>
          <w:szCs w:val="22"/>
        </w:rPr>
      </w:pPr>
      <w:r>
        <w:rPr>
          <w:rFonts w:ascii="Aptos" w:hAnsi="Aptos" w:cs="Times New Roman"/>
          <w:sz w:val="22"/>
          <w:szCs w:val="22"/>
        </w:rPr>
        <w:t>For assistance with compliance with the Bulk Data Rule, contact any of the following:</w:t>
      </w:r>
    </w:p>
    <w:p w14:paraId="4366B72B" w14:textId="7E7C1EF3" w:rsidR="00091FEE" w:rsidRPr="00130940" w:rsidRDefault="00091FEE" w:rsidP="00091FEE">
      <w:pPr>
        <w:numPr>
          <w:ilvl w:val="0"/>
          <w:numId w:val="38"/>
        </w:numPr>
        <w:spacing w:before="200" w:after="200"/>
        <w:rPr>
          <w:rFonts w:eastAsia="Times New Roman"/>
        </w:rPr>
      </w:pPr>
      <w:r>
        <w:rPr>
          <w:rFonts w:ascii="Aptos" w:eastAsia="Times New Roman" w:hAnsi="Aptos"/>
          <w:b/>
          <w:bCs/>
          <w:sz w:val="22"/>
          <w:szCs w:val="22"/>
        </w:rPr>
        <w:t xml:space="preserve">Office of Research </w:t>
      </w:r>
      <w:r w:rsidR="00E223F4">
        <w:rPr>
          <w:rFonts w:ascii="Aptos" w:eastAsia="Times New Roman" w:hAnsi="Aptos"/>
          <w:b/>
          <w:bCs/>
          <w:sz w:val="22"/>
          <w:szCs w:val="22"/>
        </w:rPr>
        <w:t>Integrity</w:t>
      </w:r>
      <w:r>
        <w:rPr>
          <w:rFonts w:eastAsia="Times New Roman"/>
          <w:b/>
          <w:bCs/>
        </w:rPr>
        <w:t xml:space="preserve"> </w:t>
      </w:r>
      <w:r>
        <w:rPr>
          <w:rFonts w:ascii="Aptos" w:eastAsia="Times New Roman" w:hAnsi="Aptos"/>
          <w:sz w:val="22"/>
          <w:szCs w:val="22"/>
        </w:rPr>
        <w:t>– for matters relating to research data</w:t>
      </w:r>
    </w:p>
    <w:p w14:paraId="781B858C" w14:textId="23C5830E" w:rsidR="00130940" w:rsidRDefault="00130940" w:rsidP="00130940">
      <w:pPr>
        <w:numPr>
          <w:ilvl w:val="1"/>
          <w:numId w:val="38"/>
        </w:numPr>
        <w:spacing w:before="200" w:after="200"/>
        <w:rPr>
          <w:rFonts w:eastAsia="Times New Roman"/>
        </w:rPr>
      </w:pPr>
      <w:r>
        <w:rPr>
          <w:rFonts w:ascii="Aptos" w:eastAsia="Times New Roman" w:hAnsi="Aptos"/>
          <w:b/>
          <w:bCs/>
          <w:sz w:val="22"/>
          <w:szCs w:val="22"/>
        </w:rPr>
        <w:t xml:space="preserve">IRB </w:t>
      </w:r>
      <w:r>
        <w:rPr>
          <w:rFonts w:ascii="Aptos" w:eastAsia="Times New Roman" w:hAnsi="Aptos"/>
          <w:sz w:val="22"/>
          <w:szCs w:val="22"/>
        </w:rPr>
        <w:t xml:space="preserve">– for matters relating specifically to human </w:t>
      </w:r>
      <w:proofErr w:type="gramStart"/>
      <w:r>
        <w:rPr>
          <w:rFonts w:ascii="Aptos" w:eastAsia="Times New Roman" w:hAnsi="Aptos"/>
          <w:sz w:val="22"/>
          <w:szCs w:val="22"/>
        </w:rPr>
        <w:t>subjects</w:t>
      </w:r>
      <w:proofErr w:type="gramEnd"/>
      <w:r>
        <w:rPr>
          <w:rFonts w:ascii="Aptos" w:eastAsia="Times New Roman" w:hAnsi="Aptos"/>
          <w:sz w:val="22"/>
          <w:szCs w:val="22"/>
        </w:rPr>
        <w:t xml:space="preserve"> research data</w:t>
      </w:r>
    </w:p>
    <w:p w14:paraId="2B6D0333" w14:textId="7E02E51A" w:rsidR="00E223F4" w:rsidRDefault="00E223F4" w:rsidP="00E223F4">
      <w:pPr>
        <w:numPr>
          <w:ilvl w:val="0"/>
          <w:numId w:val="38"/>
        </w:numPr>
        <w:spacing w:before="200" w:after="200"/>
        <w:rPr>
          <w:rFonts w:eastAsia="Times New Roman"/>
        </w:rPr>
      </w:pPr>
      <w:r>
        <w:rPr>
          <w:rFonts w:ascii="Aptos" w:eastAsia="Times New Roman" w:hAnsi="Aptos"/>
          <w:b/>
          <w:bCs/>
          <w:sz w:val="22"/>
          <w:szCs w:val="22"/>
        </w:rPr>
        <w:t>Information Security Office</w:t>
      </w:r>
      <w:r>
        <w:rPr>
          <w:rFonts w:eastAsia="Times New Roman"/>
          <w:b/>
          <w:bCs/>
        </w:rPr>
        <w:t xml:space="preserve"> </w:t>
      </w:r>
      <w:r>
        <w:rPr>
          <w:rFonts w:ascii="Aptos" w:eastAsia="Times New Roman" w:hAnsi="Aptos"/>
          <w:sz w:val="22"/>
          <w:szCs w:val="22"/>
        </w:rPr>
        <w:t>– for data security requirements and verification</w:t>
      </w:r>
    </w:p>
    <w:p w14:paraId="568DB719" w14:textId="08F80F64" w:rsidR="00091FEE" w:rsidRDefault="00091FEE" w:rsidP="00091FEE">
      <w:pPr>
        <w:numPr>
          <w:ilvl w:val="0"/>
          <w:numId w:val="38"/>
        </w:numPr>
        <w:spacing w:before="200" w:after="200"/>
        <w:rPr>
          <w:rFonts w:eastAsia="Times New Roman"/>
        </w:rPr>
      </w:pPr>
      <w:r>
        <w:rPr>
          <w:rFonts w:ascii="Aptos" w:eastAsia="Times New Roman" w:hAnsi="Aptos"/>
          <w:b/>
          <w:bCs/>
          <w:sz w:val="22"/>
          <w:szCs w:val="22"/>
        </w:rPr>
        <w:t>Chief Privacy Office (CPO)</w:t>
      </w:r>
      <w:r>
        <w:rPr>
          <w:rFonts w:eastAsia="Times New Roman"/>
          <w:b/>
          <w:bCs/>
        </w:rPr>
        <w:t xml:space="preserve"> </w:t>
      </w:r>
      <w:r>
        <w:rPr>
          <w:rFonts w:ascii="Aptos" w:eastAsia="Times New Roman" w:hAnsi="Aptos"/>
          <w:sz w:val="22"/>
          <w:szCs w:val="22"/>
        </w:rPr>
        <w:t xml:space="preserve">– for personal data and privacy </w:t>
      </w:r>
      <w:r w:rsidR="00E223F4">
        <w:rPr>
          <w:rFonts w:ascii="Aptos" w:eastAsia="Times New Roman" w:hAnsi="Aptos"/>
          <w:sz w:val="22"/>
          <w:szCs w:val="22"/>
        </w:rPr>
        <w:t>questions</w:t>
      </w:r>
    </w:p>
    <w:p w14:paraId="4EF3DAB1" w14:textId="77777777" w:rsidR="00DF3323" w:rsidRPr="00CE4ABB" w:rsidRDefault="00DF3323" w:rsidP="007004A5">
      <w:pPr>
        <w:rPr>
          <w:rFonts w:ascii="Aptos" w:hAnsi="Aptos"/>
          <w:sz w:val="22"/>
          <w:szCs w:val="22"/>
        </w:rPr>
      </w:pPr>
    </w:p>
    <w:sectPr w:rsidR="00DF3323" w:rsidRPr="00CE4ABB" w:rsidSect="005D5E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0D8F" w14:textId="77777777" w:rsidR="00B0330F" w:rsidRDefault="00B0330F" w:rsidP="005D5EE2">
      <w:r>
        <w:separator/>
      </w:r>
    </w:p>
  </w:endnote>
  <w:endnote w:type="continuationSeparator" w:id="0">
    <w:p w14:paraId="3B9F8D1D" w14:textId="77777777" w:rsidR="00B0330F" w:rsidRDefault="00B0330F" w:rsidP="005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Lora">
    <w:panose1 w:val="00000000000000000000"/>
    <w:charset w:val="4D"/>
    <w:family w:val="auto"/>
    <w:pitch w:val="variable"/>
    <w:sig w:usb0="A00002FF" w:usb1="5000204B" w:usb2="00000000" w:usb3="00000000" w:csb0="00000097"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rownPro">
    <w:panose1 w:val="020B0604020202020204"/>
    <w:charset w:val="4D"/>
    <w:family w:val="auto"/>
    <w:notTrueType/>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9C3" w14:textId="77777777" w:rsidR="00520F0D" w:rsidRDefault="0052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DE97" w14:textId="77777777" w:rsidR="00520F0D" w:rsidRDefault="0052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FA7E" w14:textId="77777777" w:rsidR="00683576" w:rsidRPr="00E13D67" w:rsidRDefault="00683576" w:rsidP="008341C5">
    <w:pPr>
      <w:pStyle w:val="Footer"/>
      <w:rPr>
        <w:rFonts w:ascii="Cambria" w:hAnsi="Cambria" w:cs="Times New Roman (Body CS)"/>
        <w:smallCaps/>
        <w:color w:val="7F7F7F" w:themeColor="text1" w:themeTint="80"/>
        <w:sz w:val="20"/>
        <w:szCs w:val="20"/>
      </w:rPr>
    </w:pPr>
    <w:r w:rsidRPr="008341C5">
      <w:t xml:space="preserve"> </w:t>
    </w:r>
    <w:r w:rsidR="00E13D67">
      <w:rPr>
        <w:rFonts w:ascii="Cambria" w:hAnsi="Cambria" w:cs="Times New Roman (Body CS)" w:hint="cs"/>
        <w:smallCaps/>
        <w:color w:val="7F7F7F" w:themeColor="text1" w:themeTint="80"/>
        <w:sz w:val="20"/>
        <w:szCs w:val="20"/>
      </w:rPr>
      <w:t>E</w:t>
    </w:r>
    <w:r w:rsidR="00E13D67">
      <w:rPr>
        <w:rFonts w:ascii="Cambria" w:hAnsi="Cambria" w:cs="Times New Roman (Body CS)"/>
        <w:smallCaps/>
        <w:color w:val="7F7F7F" w:themeColor="text1" w:themeTint="80"/>
        <w:sz w:val="20"/>
        <w:szCs w:val="20"/>
      </w:rPr>
      <w:t>qual Opportunity/Affirmative Action Employer</w:t>
    </w:r>
    <w:r w:rsidR="00E13D67">
      <w:rPr>
        <w:rFonts w:ascii="Cambria" w:hAnsi="Cambria" w:cs="Times New Roman (Body CS)"/>
        <w:smallCaps/>
        <w:color w:val="7F7F7F" w:themeColor="text1" w:themeTint="80"/>
        <w:sz w:val="20"/>
        <w:szCs w:val="20"/>
      </w:rPr>
      <w:tab/>
    </w:r>
    <w:r w:rsidR="00E13D67">
      <w:rPr>
        <w:rFonts w:ascii="Cambria" w:hAnsi="Cambria" w:cs="Times New Roman (Body CS)"/>
        <w:smallCaps/>
        <w:color w:val="7F7F7F" w:themeColor="text1" w:themeTint="80"/>
        <w:sz w:val="20"/>
        <w:szCs w:val="20"/>
      </w:rPr>
      <w:tab/>
    </w:r>
    <w:r w:rsidR="00E13D67" w:rsidRPr="00E13D67">
      <w:rPr>
        <w:rFonts w:ascii="Times New Roman" w:hAnsi="Times New Roman" w:cs="Times New Roman (Body CS)"/>
        <w:smallCaps/>
        <w:color w:val="7F7F7F" w:themeColor="text1" w:themeTint="80"/>
        <w:sz w:val="20"/>
        <w:szCs w:val="20"/>
      </w:rPr>
      <w:t xml:space="preserve">Page </w:t>
    </w:r>
    <w:r w:rsidR="00E13D67" w:rsidRPr="00E13D67">
      <w:rPr>
        <w:rFonts w:ascii="Times New Roman" w:hAnsi="Times New Roman" w:cs="Times New Roman (Body CS)"/>
        <w:smallCaps/>
        <w:color w:val="7F7F7F" w:themeColor="text1" w:themeTint="80"/>
        <w:sz w:val="20"/>
        <w:szCs w:val="20"/>
      </w:rPr>
      <w:fldChar w:fldCharType="begin"/>
    </w:r>
    <w:r w:rsidR="00E13D67" w:rsidRPr="00E13D67">
      <w:rPr>
        <w:rFonts w:ascii="Times New Roman" w:hAnsi="Times New Roman" w:cs="Times New Roman (Body CS)"/>
        <w:smallCaps/>
        <w:color w:val="7F7F7F" w:themeColor="text1" w:themeTint="80"/>
        <w:sz w:val="20"/>
        <w:szCs w:val="20"/>
      </w:rPr>
      <w:instrText xml:space="preserve"> PAGE </w:instrText>
    </w:r>
    <w:r w:rsidR="00E13D67" w:rsidRPr="00E13D67">
      <w:rPr>
        <w:rFonts w:ascii="Times New Roman" w:hAnsi="Times New Roman" w:cs="Times New Roman (Body CS)"/>
        <w:smallCaps/>
        <w:color w:val="7F7F7F" w:themeColor="text1" w:themeTint="80"/>
        <w:sz w:val="20"/>
        <w:szCs w:val="20"/>
      </w:rPr>
      <w:fldChar w:fldCharType="separate"/>
    </w:r>
    <w:r w:rsidR="00E13D67">
      <w:rPr>
        <w:rFonts w:ascii="Times New Roman" w:hAnsi="Times New Roman" w:cs="Times New Roman (Body CS)"/>
        <w:smallCaps/>
        <w:noProof/>
        <w:color w:val="7F7F7F" w:themeColor="text1" w:themeTint="80"/>
        <w:sz w:val="20"/>
        <w:szCs w:val="20"/>
      </w:rPr>
      <w:t>1</w:t>
    </w:r>
    <w:r w:rsidR="00E13D67" w:rsidRPr="00E13D67">
      <w:rPr>
        <w:rFonts w:ascii="Times New Roman" w:hAnsi="Times New Roman" w:cs="Times New Roman (Body CS)"/>
        <w:smallCaps/>
        <w:color w:val="7F7F7F" w:themeColor="text1" w:themeTint="80"/>
        <w:sz w:val="20"/>
        <w:szCs w:val="20"/>
      </w:rPr>
      <w:fldChar w:fldCharType="end"/>
    </w:r>
    <w:r w:rsidR="00E13D67" w:rsidRPr="00E13D67">
      <w:rPr>
        <w:rFonts w:ascii="Times New Roman" w:hAnsi="Times New Roman" w:cs="Times New Roman (Body CS)"/>
        <w:smallCaps/>
        <w:color w:val="7F7F7F" w:themeColor="text1" w:themeTint="80"/>
        <w:sz w:val="20"/>
        <w:szCs w:val="20"/>
      </w:rPr>
      <w:t xml:space="preserve"> of </w:t>
    </w:r>
    <w:r w:rsidR="00E13D67" w:rsidRPr="00E13D67">
      <w:rPr>
        <w:rFonts w:ascii="Times New Roman" w:hAnsi="Times New Roman" w:cs="Times New Roman (Body CS)"/>
        <w:smallCaps/>
        <w:color w:val="7F7F7F" w:themeColor="text1" w:themeTint="80"/>
        <w:sz w:val="20"/>
        <w:szCs w:val="20"/>
      </w:rPr>
      <w:fldChar w:fldCharType="begin"/>
    </w:r>
    <w:r w:rsidR="00E13D67" w:rsidRPr="00E13D67">
      <w:rPr>
        <w:rFonts w:ascii="Times New Roman" w:hAnsi="Times New Roman" w:cs="Times New Roman (Body CS)"/>
        <w:smallCaps/>
        <w:color w:val="7F7F7F" w:themeColor="text1" w:themeTint="80"/>
        <w:sz w:val="20"/>
        <w:szCs w:val="20"/>
      </w:rPr>
      <w:instrText xml:space="preserve"> NUMPAGES </w:instrText>
    </w:r>
    <w:r w:rsidR="00E13D67" w:rsidRPr="00E13D67">
      <w:rPr>
        <w:rFonts w:ascii="Times New Roman" w:hAnsi="Times New Roman" w:cs="Times New Roman (Body CS)"/>
        <w:smallCaps/>
        <w:color w:val="7F7F7F" w:themeColor="text1" w:themeTint="80"/>
        <w:sz w:val="20"/>
        <w:szCs w:val="20"/>
      </w:rPr>
      <w:fldChar w:fldCharType="separate"/>
    </w:r>
    <w:r w:rsidR="00E13D67">
      <w:rPr>
        <w:rFonts w:ascii="Times New Roman" w:hAnsi="Times New Roman" w:cs="Times New Roman (Body CS)"/>
        <w:smallCaps/>
        <w:noProof/>
        <w:color w:val="7F7F7F" w:themeColor="text1" w:themeTint="80"/>
        <w:sz w:val="20"/>
        <w:szCs w:val="20"/>
      </w:rPr>
      <w:t>1</w:t>
    </w:r>
    <w:r w:rsidR="00E13D67" w:rsidRPr="00E13D67">
      <w:rPr>
        <w:rFonts w:ascii="Times New Roman" w:hAnsi="Times New Roman" w:cs="Times New Roman (Body CS)"/>
        <w:smallCaps/>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58C4" w14:textId="77777777" w:rsidR="00B0330F" w:rsidRDefault="00B0330F" w:rsidP="005D5EE2">
      <w:r>
        <w:separator/>
      </w:r>
    </w:p>
  </w:footnote>
  <w:footnote w:type="continuationSeparator" w:id="0">
    <w:p w14:paraId="5A25D23E" w14:textId="77777777" w:rsidR="00B0330F" w:rsidRDefault="00B0330F" w:rsidP="005D5EE2">
      <w:r>
        <w:continuationSeparator/>
      </w:r>
    </w:p>
  </w:footnote>
  <w:footnote w:id="1">
    <w:p w14:paraId="4B71A0F2" w14:textId="28EB4574" w:rsidR="00590CD9" w:rsidRPr="00590CD9" w:rsidRDefault="00590CD9" w:rsidP="00D17D28">
      <w:pPr>
        <w:pStyle w:val="FootnoteText"/>
        <w:rPr>
          <w:rFonts w:ascii="Aptos" w:hAnsi="Apto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117B" w14:textId="2E52ADA2" w:rsidR="00520F0D" w:rsidRDefault="00520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9A1A" w14:textId="34DBD92C" w:rsidR="00520F0D" w:rsidRDefault="00520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C51B" w14:textId="0BD610E4" w:rsidR="00602F53" w:rsidRDefault="00602F53" w:rsidP="00602F53">
    <w:pPr>
      <w:pStyle w:val="Header"/>
    </w:pPr>
    <w:r>
      <w:rPr>
        <w:noProof/>
      </w:rPr>
      <w:drawing>
        <wp:inline distT="0" distB="0" distL="0" distR="0" wp14:anchorId="0BED6620" wp14:editId="04FE28E5">
          <wp:extent cx="2248192" cy="7170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48192" cy="717096"/>
                  </a:xfrm>
                  <a:prstGeom prst="rect">
                    <a:avLst/>
                  </a:prstGeom>
                </pic:spPr>
              </pic:pic>
            </a:graphicData>
          </a:graphic>
        </wp:inline>
      </w:drawing>
    </w:r>
  </w:p>
  <w:p w14:paraId="1CB78363" w14:textId="77777777" w:rsidR="00602F53" w:rsidRDefault="00602F53" w:rsidP="00602F5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tblGrid>
    <w:tr w:rsidR="00602F53" w14:paraId="02496D59" w14:textId="77777777">
      <w:tc>
        <w:tcPr>
          <w:tcW w:w="2155" w:type="dxa"/>
          <w:shd w:val="clear" w:color="auto" w:fill="FFD200"/>
        </w:tcPr>
        <w:p w14:paraId="322CF896" w14:textId="77777777" w:rsidR="00602F53" w:rsidRPr="00AC4323" w:rsidRDefault="00602F53" w:rsidP="00602F53">
          <w:pPr>
            <w:rPr>
              <w:rFonts w:ascii="Aptos" w:hAnsi="Aptos" w:cs="Times New Roman"/>
              <w:sz w:val="4"/>
              <w:szCs w:val="4"/>
            </w:rPr>
          </w:pPr>
        </w:p>
      </w:tc>
    </w:tr>
    <w:tr w:rsidR="00602F53" w:rsidRPr="00AC4323" w14:paraId="2396F224" w14:textId="77777777">
      <w:tc>
        <w:tcPr>
          <w:tcW w:w="2155" w:type="dxa"/>
          <w:shd w:val="clear" w:color="auto" w:fill="154733"/>
        </w:tcPr>
        <w:p w14:paraId="55F498CE" w14:textId="77777777" w:rsidR="00602F53" w:rsidRPr="00AC4323" w:rsidRDefault="00602F53" w:rsidP="00602F53">
          <w:pPr>
            <w:rPr>
              <w:rFonts w:ascii="Aptos" w:hAnsi="Aptos" w:cs="Times New Roman"/>
              <w:sz w:val="10"/>
              <w:szCs w:val="10"/>
            </w:rPr>
          </w:pPr>
        </w:p>
      </w:tc>
    </w:tr>
  </w:tbl>
  <w:p w14:paraId="70D412F6" w14:textId="77777777" w:rsidR="00602F53" w:rsidRPr="008341C5" w:rsidRDefault="00602F53" w:rsidP="00602F53">
    <w:pPr>
      <w:pStyle w:val="Footer"/>
      <w:jc w:val="center"/>
      <w:rPr>
        <w:rFonts w:ascii="BrownPro" w:hAnsi="BrownPro"/>
        <w:color w:val="7B7B7B" w:themeColor="background2"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1B6"/>
    <w:multiLevelType w:val="hybridMultilevel"/>
    <w:tmpl w:val="BE1A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4DC4"/>
    <w:multiLevelType w:val="multilevel"/>
    <w:tmpl w:val="DD38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923AD"/>
    <w:multiLevelType w:val="hybridMultilevel"/>
    <w:tmpl w:val="9B48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220"/>
    <w:multiLevelType w:val="multilevel"/>
    <w:tmpl w:val="DD38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7EE8"/>
    <w:multiLevelType w:val="multilevel"/>
    <w:tmpl w:val="C34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BAB"/>
    <w:multiLevelType w:val="hybridMultilevel"/>
    <w:tmpl w:val="6F0A6650"/>
    <w:lvl w:ilvl="0" w:tplc="61B60C1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36FD"/>
    <w:multiLevelType w:val="multilevel"/>
    <w:tmpl w:val="91C0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20D5B"/>
    <w:multiLevelType w:val="hybridMultilevel"/>
    <w:tmpl w:val="FB60395C"/>
    <w:lvl w:ilvl="0" w:tplc="421459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274"/>
    <w:multiLevelType w:val="hybridMultilevel"/>
    <w:tmpl w:val="5F5E3718"/>
    <w:lvl w:ilvl="0" w:tplc="0409000F">
      <w:start w:val="1"/>
      <w:numFmt w:val="decimal"/>
      <w:lvlText w:val="%1."/>
      <w:lvlJc w:val="left"/>
      <w:pPr>
        <w:ind w:left="720" w:hanging="360"/>
      </w:pPr>
    </w:lvl>
    <w:lvl w:ilvl="1" w:tplc="1846BB8E">
      <w:numFmt w:val="bullet"/>
      <w:lvlText w:val="•"/>
      <w:lvlJc w:val="left"/>
      <w:pPr>
        <w:ind w:left="1800" w:hanging="720"/>
      </w:pPr>
      <w:rPr>
        <w:rFonts w:ascii="Avenir" w:eastAsiaTheme="minorHAnsi" w:hAnsi="Avenir"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A6B81"/>
    <w:multiLevelType w:val="hybridMultilevel"/>
    <w:tmpl w:val="110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9210D"/>
    <w:multiLevelType w:val="hybridMultilevel"/>
    <w:tmpl w:val="50E6DBE4"/>
    <w:lvl w:ilvl="0" w:tplc="421459A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5D78E7"/>
    <w:multiLevelType w:val="multilevel"/>
    <w:tmpl w:val="ED08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DE7995"/>
    <w:multiLevelType w:val="hybridMultilevel"/>
    <w:tmpl w:val="2594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16134"/>
    <w:multiLevelType w:val="multilevel"/>
    <w:tmpl w:val="DD38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F0F3A"/>
    <w:multiLevelType w:val="multilevel"/>
    <w:tmpl w:val="9B2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15453"/>
    <w:multiLevelType w:val="multilevel"/>
    <w:tmpl w:val="7118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B1127"/>
    <w:multiLevelType w:val="multilevel"/>
    <w:tmpl w:val="4FAA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73062"/>
    <w:multiLevelType w:val="multilevel"/>
    <w:tmpl w:val="9A6EF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0152A"/>
    <w:multiLevelType w:val="multilevel"/>
    <w:tmpl w:val="38D6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4120F"/>
    <w:multiLevelType w:val="hybridMultilevel"/>
    <w:tmpl w:val="020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B6516"/>
    <w:multiLevelType w:val="hybridMultilevel"/>
    <w:tmpl w:val="BE76420E"/>
    <w:lvl w:ilvl="0" w:tplc="1AC8C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C1B27"/>
    <w:multiLevelType w:val="hybridMultilevel"/>
    <w:tmpl w:val="D8ACC41E"/>
    <w:lvl w:ilvl="0" w:tplc="421459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34F9A"/>
    <w:multiLevelType w:val="hybridMultilevel"/>
    <w:tmpl w:val="07E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85D55"/>
    <w:multiLevelType w:val="multilevel"/>
    <w:tmpl w:val="DD38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C52093"/>
    <w:multiLevelType w:val="multilevel"/>
    <w:tmpl w:val="A80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A371C"/>
    <w:multiLevelType w:val="hybridMultilevel"/>
    <w:tmpl w:val="D140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727F8"/>
    <w:multiLevelType w:val="hybridMultilevel"/>
    <w:tmpl w:val="BC301700"/>
    <w:lvl w:ilvl="0" w:tplc="DE945718">
      <w:start w:val="1"/>
      <w:numFmt w:val="lowerLetter"/>
      <w:lvlText w:val="(%1)"/>
      <w:lvlJc w:val="left"/>
      <w:pPr>
        <w:ind w:left="720" w:hanging="360"/>
      </w:pPr>
      <w:rPr>
        <w:rFonts w:ascii="Aptos" w:hAnsi="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022C3"/>
    <w:multiLevelType w:val="multilevel"/>
    <w:tmpl w:val="9B44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C7AE9"/>
    <w:multiLevelType w:val="multilevel"/>
    <w:tmpl w:val="27D8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071A1"/>
    <w:multiLevelType w:val="multilevel"/>
    <w:tmpl w:val="E794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F7FA0"/>
    <w:multiLevelType w:val="multilevel"/>
    <w:tmpl w:val="DE4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842D4"/>
    <w:multiLevelType w:val="hybridMultilevel"/>
    <w:tmpl w:val="EB662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925A46"/>
    <w:multiLevelType w:val="hybridMultilevel"/>
    <w:tmpl w:val="F5CE9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62956"/>
    <w:multiLevelType w:val="hybridMultilevel"/>
    <w:tmpl w:val="6336896C"/>
    <w:lvl w:ilvl="0" w:tplc="F69E9F3E">
      <w:start w:val="1"/>
      <w:numFmt w:val="decimal"/>
      <w:lvlText w:val="%1."/>
      <w:lvlJc w:val="left"/>
      <w:pPr>
        <w:ind w:left="720" w:hanging="360"/>
      </w:pPr>
      <w:rPr>
        <w:rFonts w:ascii="Lora" w:hAnsi="Lora" w:hint="default"/>
        <w:b w:val="0"/>
        <w:i w:val="0"/>
      </w:rPr>
    </w:lvl>
    <w:lvl w:ilvl="1" w:tplc="7B2E080E">
      <w:start w:val="1"/>
      <w:numFmt w:val="decimal"/>
      <w:lvlText w:val="(%2)"/>
      <w:lvlJc w:val="left"/>
      <w:pPr>
        <w:ind w:left="2940" w:hanging="18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476F2"/>
    <w:multiLevelType w:val="multilevel"/>
    <w:tmpl w:val="E902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F17B8"/>
    <w:multiLevelType w:val="multilevel"/>
    <w:tmpl w:val="2FA0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611EF"/>
    <w:multiLevelType w:val="hybridMultilevel"/>
    <w:tmpl w:val="7F22DAC6"/>
    <w:lvl w:ilvl="0" w:tplc="421459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8151D"/>
    <w:multiLevelType w:val="hybridMultilevel"/>
    <w:tmpl w:val="41D8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46545"/>
    <w:multiLevelType w:val="hybridMultilevel"/>
    <w:tmpl w:val="7EA8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062071">
    <w:abstractNumId w:val="8"/>
  </w:num>
  <w:num w:numId="2" w16cid:durableId="117839477">
    <w:abstractNumId w:val="25"/>
  </w:num>
  <w:num w:numId="3" w16cid:durableId="1243294976">
    <w:abstractNumId w:val="2"/>
  </w:num>
  <w:num w:numId="4" w16cid:durableId="1088885145">
    <w:abstractNumId w:val="32"/>
  </w:num>
  <w:num w:numId="5" w16cid:durableId="486827254">
    <w:abstractNumId w:val="19"/>
  </w:num>
  <w:num w:numId="6" w16cid:durableId="1711221378">
    <w:abstractNumId w:val="22"/>
  </w:num>
  <w:num w:numId="7" w16cid:durableId="1343240440">
    <w:abstractNumId w:val="5"/>
  </w:num>
  <w:num w:numId="8" w16cid:durableId="1549142177">
    <w:abstractNumId w:val="9"/>
  </w:num>
  <w:num w:numId="9" w16cid:durableId="2044746458">
    <w:abstractNumId w:val="12"/>
  </w:num>
  <w:num w:numId="10" w16cid:durableId="630282414">
    <w:abstractNumId w:val="34"/>
  </w:num>
  <w:num w:numId="11" w16cid:durableId="1449931254">
    <w:abstractNumId w:val="11"/>
  </w:num>
  <w:num w:numId="12" w16cid:durableId="1626421737">
    <w:abstractNumId w:val="28"/>
  </w:num>
  <w:num w:numId="13" w16cid:durableId="1975601231">
    <w:abstractNumId w:val="35"/>
  </w:num>
  <w:num w:numId="14" w16cid:durableId="1400516054">
    <w:abstractNumId w:val="27"/>
  </w:num>
  <w:num w:numId="15" w16cid:durableId="929043577">
    <w:abstractNumId w:val="18"/>
  </w:num>
  <w:num w:numId="16" w16cid:durableId="786239875">
    <w:abstractNumId w:val="14"/>
  </w:num>
  <w:num w:numId="17" w16cid:durableId="678579403">
    <w:abstractNumId w:val="3"/>
  </w:num>
  <w:num w:numId="18" w16cid:durableId="214463392">
    <w:abstractNumId w:val="29"/>
  </w:num>
  <w:num w:numId="19" w16cid:durableId="194924067">
    <w:abstractNumId w:val="4"/>
  </w:num>
  <w:num w:numId="20" w16cid:durableId="677847405">
    <w:abstractNumId w:val="0"/>
  </w:num>
  <w:num w:numId="21" w16cid:durableId="1460300571">
    <w:abstractNumId w:val="38"/>
  </w:num>
  <w:num w:numId="22" w16cid:durableId="1037000942">
    <w:abstractNumId w:val="31"/>
  </w:num>
  <w:num w:numId="23" w16cid:durableId="1176727655">
    <w:abstractNumId w:val="37"/>
  </w:num>
  <w:num w:numId="24" w16cid:durableId="320082175">
    <w:abstractNumId w:val="21"/>
  </w:num>
  <w:num w:numId="25" w16cid:durableId="1376655557">
    <w:abstractNumId w:val="26"/>
  </w:num>
  <w:num w:numId="26" w16cid:durableId="1124928849">
    <w:abstractNumId w:val="7"/>
  </w:num>
  <w:num w:numId="27" w16cid:durableId="166100953">
    <w:abstractNumId w:val="36"/>
  </w:num>
  <w:num w:numId="28" w16cid:durableId="26377674">
    <w:abstractNumId w:val="20"/>
  </w:num>
  <w:num w:numId="29" w16cid:durableId="970479015">
    <w:abstractNumId w:val="10"/>
  </w:num>
  <w:num w:numId="30" w16cid:durableId="661083230">
    <w:abstractNumId w:val="33"/>
  </w:num>
  <w:num w:numId="31" w16cid:durableId="1141580080">
    <w:abstractNumId w:val="13"/>
  </w:num>
  <w:num w:numId="32" w16cid:durableId="586158040">
    <w:abstractNumId w:val="1"/>
  </w:num>
  <w:num w:numId="33" w16cid:durableId="1121724566">
    <w:abstractNumId w:val="15"/>
  </w:num>
  <w:num w:numId="34" w16cid:durableId="174081481">
    <w:abstractNumId w:val="24"/>
  </w:num>
  <w:num w:numId="35" w16cid:durableId="509872155">
    <w:abstractNumId w:val="30"/>
  </w:num>
  <w:num w:numId="36" w16cid:durableId="1024136144">
    <w:abstractNumId w:val="6"/>
  </w:num>
  <w:num w:numId="37" w16cid:durableId="1346518350">
    <w:abstractNumId w:val="16"/>
  </w:num>
  <w:num w:numId="38" w16cid:durableId="1337807452">
    <w:abstractNumId w:val="17"/>
  </w:num>
  <w:num w:numId="39" w16cid:durableId="13172234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EF"/>
    <w:rsid w:val="000005D4"/>
    <w:rsid w:val="00005CFA"/>
    <w:rsid w:val="00023B56"/>
    <w:rsid w:val="00026E5D"/>
    <w:rsid w:val="00041AA6"/>
    <w:rsid w:val="00043192"/>
    <w:rsid w:val="00044CE2"/>
    <w:rsid w:val="00045F30"/>
    <w:rsid w:val="00050C44"/>
    <w:rsid w:val="000571C8"/>
    <w:rsid w:val="00057B1A"/>
    <w:rsid w:val="00063D04"/>
    <w:rsid w:val="00074528"/>
    <w:rsid w:val="000766FF"/>
    <w:rsid w:val="00081531"/>
    <w:rsid w:val="00090F7E"/>
    <w:rsid w:val="00091AFD"/>
    <w:rsid w:val="00091FEE"/>
    <w:rsid w:val="00093042"/>
    <w:rsid w:val="000A3C57"/>
    <w:rsid w:val="000A65E7"/>
    <w:rsid w:val="000A6ED7"/>
    <w:rsid w:val="000B62C7"/>
    <w:rsid w:val="000B650A"/>
    <w:rsid w:val="000B6A3C"/>
    <w:rsid w:val="000C6DA8"/>
    <w:rsid w:val="000D0C3F"/>
    <w:rsid w:val="000D1336"/>
    <w:rsid w:val="000D1C99"/>
    <w:rsid w:val="000D4261"/>
    <w:rsid w:val="000E688E"/>
    <w:rsid w:val="000F376D"/>
    <w:rsid w:val="001132E8"/>
    <w:rsid w:val="001150CC"/>
    <w:rsid w:val="00127AB0"/>
    <w:rsid w:val="00130940"/>
    <w:rsid w:val="00131929"/>
    <w:rsid w:val="00133A4D"/>
    <w:rsid w:val="00140B78"/>
    <w:rsid w:val="00142072"/>
    <w:rsid w:val="001452DC"/>
    <w:rsid w:val="00146C80"/>
    <w:rsid w:val="001537B9"/>
    <w:rsid w:val="00157315"/>
    <w:rsid w:val="00160A1B"/>
    <w:rsid w:val="00163790"/>
    <w:rsid w:val="0016700A"/>
    <w:rsid w:val="0017313B"/>
    <w:rsid w:val="00180C8C"/>
    <w:rsid w:val="0019742F"/>
    <w:rsid w:val="001A3C07"/>
    <w:rsid w:val="001B046B"/>
    <w:rsid w:val="001B3DB8"/>
    <w:rsid w:val="001B435E"/>
    <w:rsid w:val="001B4CC0"/>
    <w:rsid w:val="001C039E"/>
    <w:rsid w:val="001C1D03"/>
    <w:rsid w:val="001C6563"/>
    <w:rsid w:val="001D6153"/>
    <w:rsid w:val="001D6785"/>
    <w:rsid w:val="001E0DD1"/>
    <w:rsid w:val="001E200F"/>
    <w:rsid w:val="001E4B99"/>
    <w:rsid w:val="001F3865"/>
    <w:rsid w:val="00203095"/>
    <w:rsid w:val="00203A4F"/>
    <w:rsid w:val="0020493F"/>
    <w:rsid w:val="00206349"/>
    <w:rsid w:val="00213F7A"/>
    <w:rsid w:val="002508AE"/>
    <w:rsid w:val="002636B2"/>
    <w:rsid w:val="002641E2"/>
    <w:rsid w:val="00273089"/>
    <w:rsid w:val="002739A8"/>
    <w:rsid w:val="0027515A"/>
    <w:rsid w:val="00284CA4"/>
    <w:rsid w:val="00294A2C"/>
    <w:rsid w:val="00296FCC"/>
    <w:rsid w:val="002A2B7D"/>
    <w:rsid w:val="002B38F7"/>
    <w:rsid w:val="002B6A48"/>
    <w:rsid w:val="002C212A"/>
    <w:rsid w:val="002C606C"/>
    <w:rsid w:val="002C776E"/>
    <w:rsid w:val="002D0BAF"/>
    <w:rsid w:val="002D3063"/>
    <w:rsid w:val="002E5377"/>
    <w:rsid w:val="002E74F5"/>
    <w:rsid w:val="002F0688"/>
    <w:rsid w:val="002F4988"/>
    <w:rsid w:val="00313B8D"/>
    <w:rsid w:val="00322CAA"/>
    <w:rsid w:val="0032579A"/>
    <w:rsid w:val="00337B3F"/>
    <w:rsid w:val="00340F7F"/>
    <w:rsid w:val="003503AE"/>
    <w:rsid w:val="00352744"/>
    <w:rsid w:val="00353780"/>
    <w:rsid w:val="00370C6D"/>
    <w:rsid w:val="003712BB"/>
    <w:rsid w:val="00372806"/>
    <w:rsid w:val="00377439"/>
    <w:rsid w:val="0038126C"/>
    <w:rsid w:val="00387747"/>
    <w:rsid w:val="003945B8"/>
    <w:rsid w:val="003A14D8"/>
    <w:rsid w:val="003A31BC"/>
    <w:rsid w:val="003A43DF"/>
    <w:rsid w:val="003A546B"/>
    <w:rsid w:val="003B01FC"/>
    <w:rsid w:val="003B3A30"/>
    <w:rsid w:val="003C1092"/>
    <w:rsid w:val="003C177D"/>
    <w:rsid w:val="003C17A0"/>
    <w:rsid w:val="003C1B2E"/>
    <w:rsid w:val="003C4EAB"/>
    <w:rsid w:val="003C58EB"/>
    <w:rsid w:val="003D2C0A"/>
    <w:rsid w:val="003D5550"/>
    <w:rsid w:val="003D5FC3"/>
    <w:rsid w:val="003D75EC"/>
    <w:rsid w:val="003E3629"/>
    <w:rsid w:val="003E7693"/>
    <w:rsid w:val="00403E47"/>
    <w:rsid w:val="0040555B"/>
    <w:rsid w:val="004077CC"/>
    <w:rsid w:val="00407B04"/>
    <w:rsid w:val="00410A92"/>
    <w:rsid w:val="0041184F"/>
    <w:rsid w:val="004157CF"/>
    <w:rsid w:val="00424A7B"/>
    <w:rsid w:val="00430C4E"/>
    <w:rsid w:val="00432522"/>
    <w:rsid w:val="0043691E"/>
    <w:rsid w:val="004551DE"/>
    <w:rsid w:val="00462EEB"/>
    <w:rsid w:val="004646D1"/>
    <w:rsid w:val="00467DBF"/>
    <w:rsid w:val="00472A0F"/>
    <w:rsid w:val="0047359E"/>
    <w:rsid w:val="00477AC1"/>
    <w:rsid w:val="00477DC8"/>
    <w:rsid w:val="004812C0"/>
    <w:rsid w:val="00486025"/>
    <w:rsid w:val="0049239F"/>
    <w:rsid w:val="00493A2C"/>
    <w:rsid w:val="00494346"/>
    <w:rsid w:val="004A086E"/>
    <w:rsid w:val="004B2A59"/>
    <w:rsid w:val="004B2C60"/>
    <w:rsid w:val="004B681F"/>
    <w:rsid w:val="004B7E88"/>
    <w:rsid w:val="004C60E0"/>
    <w:rsid w:val="004D05BF"/>
    <w:rsid w:val="004D0D76"/>
    <w:rsid w:val="004D7627"/>
    <w:rsid w:val="004E4E90"/>
    <w:rsid w:val="004E511B"/>
    <w:rsid w:val="004E7E6C"/>
    <w:rsid w:val="004F079C"/>
    <w:rsid w:val="004F0D31"/>
    <w:rsid w:val="004F2972"/>
    <w:rsid w:val="004F5783"/>
    <w:rsid w:val="004F7F20"/>
    <w:rsid w:val="005150CE"/>
    <w:rsid w:val="00517D25"/>
    <w:rsid w:val="00520F0D"/>
    <w:rsid w:val="00523F5F"/>
    <w:rsid w:val="0053083A"/>
    <w:rsid w:val="00535F3D"/>
    <w:rsid w:val="0054250D"/>
    <w:rsid w:val="00542ACC"/>
    <w:rsid w:val="00544823"/>
    <w:rsid w:val="005456B4"/>
    <w:rsid w:val="00547093"/>
    <w:rsid w:val="005538D5"/>
    <w:rsid w:val="00554809"/>
    <w:rsid w:val="005570BC"/>
    <w:rsid w:val="005651D2"/>
    <w:rsid w:val="00570C10"/>
    <w:rsid w:val="00573FC8"/>
    <w:rsid w:val="005757A1"/>
    <w:rsid w:val="00581946"/>
    <w:rsid w:val="0058300E"/>
    <w:rsid w:val="00583D73"/>
    <w:rsid w:val="00590CD9"/>
    <w:rsid w:val="00597849"/>
    <w:rsid w:val="005A0F10"/>
    <w:rsid w:val="005A186A"/>
    <w:rsid w:val="005A1A8A"/>
    <w:rsid w:val="005A6156"/>
    <w:rsid w:val="005B063A"/>
    <w:rsid w:val="005B135F"/>
    <w:rsid w:val="005C1846"/>
    <w:rsid w:val="005C4C2B"/>
    <w:rsid w:val="005D5EE2"/>
    <w:rsid w:val="005D6C86"/>
    <w:rsid w:val="005E295C"/>
    <w:rsid w:val="005E6495"/>
    <w:rsid w:val="005E6974"/>
    <w:rsid w:val="0060076D"/>
    <w:rsid w:val="00601212"/>
    <w:rsid w:val="00602F53"/>
    <w:rsid w:val="006050A5"/>
    <w:rsid w:val="00606E85"/>
    <w:rsid w:val="0061027F"/>
    <w:rsid w:val="00617D95"/>
    <w:rsid w:val="00624009"/>
    <w:rsid w:val="0063008A"/>
    <w:rsid w:val="00630A76"/>
    <w:rsid w:val="006335B2"/>
    <w:rsid w:val="00651A39"/>
    <w:rsid w:val="00661361"/>
    <w:rsid w:val="00663D04"/>
    <w:rsid w:val="00665566"/>
    <w:rsid w:val="00667A43"/>
    <w:rsid w:val="00672154"/>
    <w:rsid w:val="0067367F"/>
    <w:rsid w:val="00676EFE"/>
    <w:rsid w:val="00680059"/>
    <w:rsid w:val="00682143"/>
    <w:rsid w:val="00683576"/>
    <w:rsid w:val="00683FBC"/>
    <w:rsid w:val="006849F8"/>
    <w:rsid w:val="00690398"/>
    <w:rsid w:val="00695297"/>
    <w:rsid w:val="006969B3"/>
    <w:rsid w:val="006A04F4"/>
    <w:rsid w:val="006A3962"/>
    <w:rsid w:val="006A4330"/>
    <w:rsid w:val="006D0767"/>
    <w:rsid w:val="006E4CC9"/>
    <w:rsid w:val="006E66EC"/>
    <w:rsid w:val="006E74F3"/>
    <w:rsid w:val="006F417F"/>
    <w:rsid w:val="007004A5"/>
    <w:rsid w:val="007005F3"/>
    <w:rsid w:val="0070101F"/>
    <w:rsid w:val="007115C4"/>
    <w:rsid w:val="00717E70"/>
    <w:rsid w:val="00723A10"/>
    <w:rsid w:val="00724D28"/>
    <w:rsid w:val="00730776"/>
    <w:rsid w:val="007316B2"/>
    <w:rsid w:val="00735140"/>
    <w:rsid w:val="00741ED0"/>
    <w:rsid w:val="007616DB"/>
    <w:rsid w:val="00761721"/>
    <w:rsid w:val="0076266A"/>
    <w:rsid w:val="0076531D"/>
    <w:rsid w:val="00772F69"/>
    <w:rsid w:val="00775907"/>
    <w:rsid w:val="00781426"/>
    <w:rsid w:val="00783B30"/>
    <w:rsid w:val="00784FED"/>
    <w:rsid w:val="007858C8"/>
    <w:rsid w:val="00786B4F"/>
    <w:rsid w:val="0078785E"/>
    <w:rsid w:val="00793126"/>
    <w:rsid w:val="007973CB"/>
    <w:rsid w:val="007A4A6A"/>
    <w:rsid w:val="007C2759"/>
    <w:rsid w:val="007C3964"/>
    <w:rsid w:val="007C3C4C"/>
    <w:rsid w:val="007C52B5"/>
    <w:rsid w:val="007C53B3"/>
    <w:rsid w:val="007C6CED"/>
    <w:rsid w:val="007E4D2C"/>
    <w:rsid w:val="007F371D"/>
    <w:rsid w:val="0080715F"/>
    <w:rsid w:val="008211ED"/>
    <w:rsid w:val="00821745"/>
    <w:rsid w:val="008219D6"/>
    <w:rsid w:val="0082786C"/>
    <w:rsid w:val="008325AC"/>
    <w:rsid w:val="0083300D"/>
    <w:rsid w:val="008341C5"/>
    <w:rsid w:val="00834F80"/>
    <w:rsid w:val="008440DF"/>
    <w:rsid w:val="008456C7"/>
    <w:rsid w:val="00845D5D"/>
    <w:rsid w:val="008466E2"/>
    <w:rsid w:val="00851203"/>
    <w:rsid w:val="008524CF"/>
    <w:rsid w:val="00855E40"/>
    <w:rsid w:val="008578ED"/>
    <w:rsid w:val="00861567"/>
    <w:rsid w:val="008619FA"/>
    <w:rsid w:val="00864B30"/>
    <w:rsid w:val="0088438F"/>
    <w:rsid w:val="00892B9A"/>
    <w:rsid w:val="008A2ABB"/>
    <w:rsid w:val="008A4EA1"/>
    <w:rsid w:val="008B0C79"/>
    <w:rsid w:val="008B5021"/>
    <w:rsid w:val="008B5F56"/>
    <w:rsid w:val="008B6D82"/>
    <w:rsid w:val="008C4068"/>
    <w:rsid w:val="008E03D8"/>
    <w:rsid w:val="008E28AD"/>
    <w:rsid w:val="008F4AE0"/>
    <w:rsid w:val="00903CDA"/>
    <w:rsid w:val="00907B73"/>
    <w:rsid w:val="00912490"/>
    <w:rsid w:val="009129CD"/>
    <w:rsid w:val="00912D58"/>
    <w:rsid w:val="009141CB"/>
    <w:rsid w:val="00914F0A"/>
    <w:rsid w:val="00927798"/>
    <w:rsid w:val="00927EEE"/>
    <w:rsid w:val="00930F0D"/>
    <w:rsid w:val="009317A8"/>
    <w:rsid w:val="00946DCC"/>
    <w:rsid w:val="00954FD2"/>
    <w:rsid w:val="009614EB"/>
    <w:rsid w:val="009629A1"/>
    <w:rsid w:val="009715D1"/>
    <w:rsid w:val="00996A2C"/>
    <w:rsid w:val="00996F89"/>
    <w:rsid w:val="009A0996"/>
    <w:rsid w:val="009A181A"/>
    <w:rsid w:val="009A23ED"/>
    <w:rsid w:val="009A645F"/>
    <w:rsid w:val="009A6940"/>
    <w:rsid w:val="009B3113"/>
    <w:rsid w:val="009B441C"/>
    <w:rsid w:val="009D3193"/>
    <w:rsid w:val="009D6DAD"/>
    <w:rsid w:val="009E0AE9"/>
    <w:rsid w:val="009E1F87"/>
    <w:rsid w:val="009E67E0"/>
    <w:rsid w:val="009E7DE4"/>
    <w:rsid w:val="009F14EF"/>
    <w:rsid w:val="009F1583"/>
    <w:rsid w:val="009F433D"/>
    <w:rsid w:val="009F5587"/>
    <w:rsid w:val="00A20347"/>
    <w:rsid w:val="00A21BAA"/>
    <w:rsid w:val="00A23464"/>
    <w:rsid w:val="00A32BA3"/>
    <w:rsid w:val="00A32F37"/>
    <w:rsid w:val="00A33822"/>
    <w:rsid w:val="00A37214"/>
    <w:rsid w:val="00A466AD"/>
    <w:rsid w:val="00A524C1"/>
    <w:rsid w:val="00A55269"/>
    <w:rsid w:val="00A63B87"/>
    <w:rsid w:val="00A65345"/>
    <w:rsid w:val="00A76F0E"/>
    <w:rsid w:val="00A876F8"/>
    <w:rsid w:val="00A921A7"/>
    <w:rsid w:val="00A97F03"/>
    <w:rsid w:val="00AA3D1F"/>
    <w:rsid w:val="00AA7A22"/>
    <w:rsid w:val="00AB76C4"/>
    <w:rsid w:val="00AC0F8B"/>
    <w:rsid w:val="00AC1A0F"/>
    <w:rsid w:val="00AC3229"/>
    <w:rsid w:val="00AC6289"/>
    <w:rsid w:val="00AD3E2E"/>
    <w:rsid w:val="00AE260A"/>
    <w:rsid w:val="00AF16E5"/>
    <w:rsid w:val="00AF5FC4"/>
    <w:rsid w:val="00B02D2E"/>
    <w:rsid w:val="00B0330F"/>
    <w:rsid w:val="00B1048C"/>
    <w:rsid w:val="00B107AE"/>
    <w:rsid w:val="00B12A80"/>
    <w:rsid w:val="00B20CFD"/>
    <w:rsid w:val="00B2294F"/>
    <w:rsid w:val="00B236CA"/>
    <w:rsid w:val="00B26679"/>
    <w:rsid w:val="00B375E6"/>
    <w:rsid w:val="00B53566"/>
    <w:rsid w:val="00B6496E"/>
    <w:rsid w:val="00B71F4C"/>
    <w:rsid w:val="00B72435"/>
    <w:rsid w:val="00B7614F"/>
    <w:rsid w:val="00B764A7"/>
    <w:rsid w:val="00B8501C"/>
    <w:rsid w:val="00B852BF"/>
    <w:rsid w:val="00B9754C"/>
    <w:rsid w:val="00BB253D"/>
    <w:rsid w:val="00BB2589"/>
    <w:rsid w:val="00BD2B34"/>
    <w:rsid w:val="00BE09A1"/>
    <w:rsid w:val="00BE7E68"/>
    <w:rsid w:val="00C03153"/>
    <w:rsid w:val="00C031FD"/>
    <w:rsid w:val="00C05623"/>
    <w:rsid w:val="00C17BCE"/>
    <w:rsid w:val="00C22597"/>
    <w:rsid w:val="00C238AF"/>
    <w:rsid w:val="00C255E7"/>
    <w:rsid w:val="00C30589"/>
    <w:rsid w:val="00C356B4"/>
    <w:rsid w:val="00C40330"/>
    <w:rsid w:val="00C42B0E"/>
    <w:rsid w:val="00C47868"/>
    <w:rsid w:val="00C47ED1"/>
    <w:rsid w:val="00C51372"/>
    <w:rsid w:val="00C54419"/>
    <w:rsid w:val="00C557D2"/>
    <w:rsid w:val="00C73F12"/>
    <w:rsid w:val="00C759F2"/>
    <w:rsid w:val="00C75F81"/>
    <w:rsid w:val="00C7757A"/>
    <w:rsid w:val="00C8456B"/>
    <w:rsid w:val="00C86AF8"/>
    <w:rsid w:val="00C90F7D"/>
    <w:rsid w:val="00C92850"/>
    <w:rsid w:val="00C93374"/>
    <w:rsid w:val="00C96CE6"/>
    <w:rsid w:val="00C97CA7"/>
    <w:rsid w:val="00CA2912"/>
    <w:rsid w:val="00CB1C08"/>
    <w:rsid w:val="00CB1EF0"/>
    <w:rsid w:val="00CC48A7"/>
    <w:rsid w:val="00CD3CA0"/>
    <w:rsid w:val="00CE4ABB"/>
    <w:rsid w:val="00CF6784"/>
    <w:rsid w:val="00D16D76"/>
    <w:rsid w:val="00D17D28"/>
    <w:rsid w:val="00D22D38"/>
    <w:rsid w:val="00D3251D"/>
    <w:rsid w:val="00D36A64"/>
    <w:rsid w:val="00D36D87"/>
    <w:rsid w:val="00D43752"/>
    <w:rsid w:val="00D568DC"/>
    <w:rsid w:val="00D626AE"/>
    <w:rsid w:val="00D73BDA"/>
    <w:rsid w:val="00D7512D"/>
    <w:rsid w:val="00D81119"/>
    <w:rsid w:val="00D90966"/>
    <w:rsid w:val="00D9216E"/>
    <w:rsid w:val="00DA0AB7"/>
    <w:rsid w:val="00DA641F"/>
    <w:rsid w:val="00DB6899"/>
    <w:rsid w:val="00DB6B08"/>
    <w:rsid w:val="00DB6D83"/>
    <w:rsid w:val="00DE1423"/>
    <w:rsid w:val="00DE19C7"/>
    <w:rsid w:val="00DE1ECC"/>
    <w:rsid w:val="00DE20C9"/>
    <w:rsid w:val="00DE5500"/>
    <w:rsid w:val="00DE6149"/>
    <w:rsid w:val="00DE6D0F"/>
    <w:rsid w:val="00DF3323"/>
    <w:rsid w:val="00E007B2"/>
    <w:rsid w:val="00E01A69"/>
    <w:rsid w:val="00E028DC"/>
    <w:rsid w:val="00E03D3D"/>
    <w:rsid w:val="00E13D67"/>
    <w:rsid w:val="00E13FB2"/>
    <w:rsid w:val="00E14B81"/>
    <w:rsid w:val="00E14E74"/>
    <w:rsid w:val="00E223F4"/>
    <w:rsid w:val="00E22690"/>
    <w:rsid w:val="00E3144E"/>
    <w:rsid w:val="00E379AE"/>
    <w:rsid w:val="00E37AA8"/>
    <w:rsid w:val="00E4076E"/>
    <w:rsid w:val="00E467E5"/>
    <w:rsid w:val="00E516CD"/>
    <w:rsid w:val="00E5203D"/>
    <w:rsid w:val="00E535F4"/>
    <w:rsid w:val="00E64FD5"/>
    <w:rsid w:val="00E652FF"/>
    <w:rsid w:val="00E733E2"/>
    <w:rsid w:val="00E84956"/>
    <w:rsid w:val="00E95DB0"/>
    <w:rsid w:val="00EA29F4"/>
    <w:rsid w:val="00EB1A73"/>
    <w:rsid w:val="00EB2F3F"/>
    <w:rsid w:val="00EB34C5"/>
    <w:rsid w:val="00EC0340"/>
    <w:rsid w:val="00ED00F5"/>
    <w:rsid w:val="00EE7E15"/>
    <w:rsid w:val="00EF1BD1"/>
    <w:rsid w:val="00EF2861"/>
    <w:rsid w:val="00EF2958"/>
    <w:rsid w:val="00F03BB7"/>
    <w:rsid w:val="00F05B2A"/>
    <w:rsid w:val="00F10FF6"/>
    <w:rsid w:val="00F14B69"/>
    <w:rsid w:val="00F14E62"/>
    <w:rsid w:val="00F24878"/>
    <w:rsid w:val="00F27D22"/>
    <w:rsid w:val="00F32B64"/>
    <w:rsid w:val="00F33ABC"/>
    <w:rsid w:val="00F37341"/>
    <w:rsid w:val="00F44D95"/>
    <w:rsid w:val="00F5558D"/>
    <w:rsid w:val="00F566D2"/>
    <w:rsid w:val="00F62B09"/>
    <w:rsid w:val="00F718C9"/>
    <w:rsid w:val="00F81341"/>
    <w:rsid w:val="00F8736F"/>
    <w:rsid w:val="00F95314"/>
    <w:rsid w:val="00F95BF2"/>
    <w:rsid w:val="00FA78A0"/>
    <w:rsid w:val="00FB4E1F"/>
    <w:rsid w:val="00FB5385"/>
    <w:rsid w:val="00FC198D"/>
    <w:rsid w:val="00FD1879"/>
    <w:rsid w:val="00FD34BA"/>
    <w:rsid w:val="00FD3DDE"/>
    <w:rsid w:val="00FD5D48"/>
    <w:rsid w:val="00FD60B1"/>
    <w:rsid w:val="00FE3A0F"/>
    <w:rsid w:val="00FE4E28"/>
    <w:rsid w:val="00FF5EEA"/>
    <w:rsid w:val="03512D69"/>
    <w:rsid w:val="20AE83BB"/>
    <w:rsid w:val="35346A3A"/>
    <w:rsid w:val="39464AA6"/>
    <w:rsid w:val="46E807CA"/>
    <w:rsid w:val="4DFB10BD"/>
    <w:rsid w:val="6D3DE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4ADFE"/>
  <w15:chartTrackingRefBased/>
  <w15:docId w15:val="{A4C842E9-BB73-43F6-B7D0-3417024F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EE2"/>
    <w:pPr>
      <w:tabs>
        <w:tab w:val="center" w:pos="4680"/>
        <w:tab w:val="right" w:pos="9360"/>
      </w:tabs>
    </w:pPr>
  </w:style>
  <w:style w:type="character" w:customStyle="1" w:styleId="HeaderChar">
    <w:name w:val="Header Char"/>
    <w:basedOn w:val="DefaultParagraphFont"/>
    <w:link w:val="Header"/>
    <w:uiPriority w:val="99"/>
    <w:rsid w:val="005D5EE2"/>
  </w:style>
  <w:style w:type="paragraph" w:styleId="Footer">
    <w:name w:val="footer"/>
    <w:basedOn w:val="Normal"/>
    <w:link w:val="FooterChar"/>
    <w:uiPriority w:val="99"/>
    <w:unhideWhenUsed/>
    <w:rsid w:val="005D5EE2"/>
    <w:pPr>
      <w:tabs>
        <w:tab w:val="center" w:pos="4680"/>
        <w:tab w:val="right" w:pos="9360"/>
      </w:tabs>
    </w:pPr>
  </w:style>
  <w:style w:type="character" w:customStyle="1" w:styleId="FooterChar">
    <w:name w:val="Footer Char"/>
    <w:basedOn w:val="DefaultParagraphFont"/>
    <w:link w:val="Footer"/>
    <w:uiPriority w:val="99"/>
    <w:rsid w:val="005D5EE2"/>
  </w:style>
  <w:style w:type="paragraph" w:styleId="ListParagraph">
    <w:name w:val="List Paragraph"/>
    <w:basedOn w:val="Normal"/>
    <w:uiPriority w:val="34"/>
    <w:qFormat/>
    <w:rsid w:val="00CB1C08"/>
    <w:pPr>
      <w:ind w:left="720"/>
      <w:contextualSpacing/>
    </w:pPr>
  </w:style>
  <w:style w:type="character" w:styleId="CommentReference">
    <w:name w:val="annotation reference"/>
    <w:basedOn w:val="DefaultParagraphFont"/>
    <w:uiPriority w:val="99"/>
    <w:semiHidden/>
    <w:unhideWhenUsed/>
    <w:rsid w:val="007C2759"/>
    <w:rPr>
      <w:sz w:val="16"/>
      <w:szCs w:val="16"/>
    </w:rPr>
  </w:style>
  <w:style w:type="paragraph" w:styleId="CommentText">
    <w:name w:val="annotation text"/>
    <w:basedOn w:val="Normal"/>
    <w:link w:val="CommentTextChar"/>
    <w:uiPriority w:val="99"/>
    <w:unhideWhenUsed/>
    <w:rsid w:val="007C2759"/>
    <w:rPr>
      <w:sz w:val="20"/>
      <w:szCs w:val="20"/>
    </w:rPr>
  </w:style>
  <w:style w:type="character" w:customStyle="1" w:styleId="CommentTextChar">
    <w:name w:val="Comment Text Char"/>
    <w:basedOn w:val="DefaultParagraphFont"/>
    <w:link w:val="CommentText"/>
    <w:uiPriority w:val="99"/>
    <w:rsid w:val="007C2759"/>
    <w:rPr>
      <w:sz w:val="20"/>
      <w:szCs w:val="20"/>
    </w:rPr>
  </w:style>
  <w:style w:type="paragraph" w:styleId="CommentSubject">
    <w:name w:val="annotation subject"/>
    <w:basedOn w:val="CommentText"/>
    <w:next w:val="CommentText"/>
    <w:link w:val="CommentSubjectChar"/>
    <w:uiPriority w:val="99"/>
    <w:semiHidden/>
    <w:unhideWhenUsed/>
    <w:rsid w:val="007C2759"/>
    <w:rPr>
      <w:b/>
      <w:bCs/>
    </w:rPr>
  </w:style>
  <w:style w:type="character" w:customStyle="1" w:styleId="CommentSubjectChar">
    <w:name w:val="Comment Subject Char"/>
    <w:basedOn w:val="CommentTextChar"/>
    <w:link w:val="CommentSubject"/>
    <w:uiPriority w:val="99"/>
    <w:semiHidden/>
    <w:rsid w:val="007C2759"/>
    <w:rPr>
      <w:b/>
      <w:bCs/>
      <w:sz w:val="20"/>
      <w:szCs w:val="20"/>
    </w:rPr>
  </w:style>
  <w:style w:type="paragraph" w:styleId="BalloonText">
    <w:name w:val="Balloon Text"/>
    <w:basedOn w:val="Normal"/>
    <w:link w:val="BalloonTextChar"/>
    <w:uiPriority w:val="99"/>
    <w:semiHidden/>
    <w:unhideWhenUsed/>
    <w:rsid w:val="007C27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2759"/>
    <w:rPr>
      <w:rFonts w:ascii="Times New Roman" w:hAnsi="Times New Roman" w:cs="Times New Roman"/>
      <w:sz w:val="18"/>
      <w:szCs w:val="18"/>
    </w:rPr>
  </w:style>
  <w:style w:type="paragraph" w:styleId="NormalWeb">
    <w:name w:val="Normal (Web)"/>
    <w:basedOn w:val="Normal"/>
    <w:uiPriority w:val="99"/>
    <w:semiHidden/>
    <w:unhideWhenUsed/>
    <w:rsid w:val="00781426"/>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C7757A"/>
    <w:rPr>
      <w:color w:val="467886" w:themeColor="hyperlink"/>
      <w:u w:val="single"/>
    </w:rPr>
  </w:style>
  <w:style w:type="character" w:customStyle="1" w:styleId="UnresolvedMention1">
    <w:name w:val="Unresolved Mention1"/>
    <w:basedOn w:val="DefaultParagraphFont"/>
    <w:uiPriority w:val="99"/>
    <w:rsid w:val="00C7757A"/>
    <w:rPr>
      <w:color w:val="605E5C"/>
      <w:shd w:val="clear" w:color="auto" w:fill="E1DFDD"/>
    </w:rPr>
  </w:style>
  <w:style w:type="character" w:styleId="PageNumber">
    <w:name w:val="page number"/>
    <w:basedOn w:val="DefaultParagraphFont"/>
    <w:uiPriority w:val="99"/>
    <w:semiHidden/>
    <w:unhideWhenUsed/>
    <w:rsid w:val="00E95DB0"/>
  </w:style>
  <w:style w:type="paragraph" w:styleId="FootnoteText">
    <w:name w:val="footnote text"/>
    <w:basedOn w:val="Normal"/>
    <w:link w:val="FootnoteTextChar"/>
    <w:uiPriority w:val="99"/>
    <w:unhideWhenUsed/>
    <w:rsid w:val="00DF3323"/>
    <w:rPr>
      <w:sz w:val="20"/>
      <w:szCs w:val="20"/>
    </w:rPr>
  </w:style>
  <w:style w:type="character" w:customStyle="1" w:styleId="FootnoteTextChar">
    <w:name w:val="Footnote Text Char"/>
    <w:basedOn w:val="DefaultParagraphFont"/>
    <w:link w:val="FootnoteText"/>
    <w:uiPriority w:val="99"/>
    <w:rsid w:val="00DF3323"/>
    <w:rPr>
      <w:sz w:val="20"/>
      <w:szCs w:val="20"/>
    </w:rPr>
  </w:style>
  <w:style w:type="character" w:styleId="FootnoteReference">
    <w:name w:val="footnote reference"/>
    <w:basedOn w:val="DefaultParagraphFont"/>
    <w:uiPriority w:val="99"/>
    <w:semiHidden/>
    <w:unhideWhenUsed/>
    <w:rsid w:val="00DF3323"/>
    <w:rPr>
      <w:vertAlign w:val="superscript"/>
    </w:rPr>
  </w:style>
  <w:style w:type="character" w:styleId="FollowedHyperlink">
    <w:name w:val="FollowedHyperlink"/>
    <w:basedOn w:val="DefaultParagraphFont"/>
    <w:uiPriority w:val="99"/>
    <w:semiHidden/>
    <w:unhideWhenUsed/>
    <w:rsid w:val="00F62B09"/>
    <w:rPr>
      <w:color w:val="96607D" w:themeColor="followedHyperlink"/>
      <w:u w:val="single"/>
    </w:rPr>
  </w:style>
  <w:style w:type="character" w:styleId="UnresolvedMention">
    <w:name w:val="Unresolved Mention"/>
    <w:basedOn w:val="DefaultParagraphFont"/>
    <w:uiPriority w:val="99"/>
    <w:semiHidden/>
    <w:unhideWhenUsed/>
    <w:rsid w:val="00180C8C"/>
    <w:rPr>
      <w:color w:val="605E5C"/>
      <w:shd w:val="clear" w:color="auto" w:fill="E1DFDD"/>
    </w:rPr>
  </w:style>
  <w:style w:type="table" w:styleId="TableGrid">
    <w:name w:val="Table Grid"/>
    <w:basedOn w:val="TableNormal"/>
    <w:uiPriority w:val="39"/>
    <w:rsid w:val="0060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4330"/>
    <w:rPr>
      <w:b/>
      <w:bCs/>
    </w:rPr>
  </w:style>
  <w:style w:type="character" w:customStyle="1" w:styleId="apple-converted-space">
    <w:name w:val="apple-converted-space"/>
    <w:basedOn w:val="DefaultParagraphFont"/>
    <w:rsid w:val="006A4330"/>
  </w:style>
  <w:style w:type="paragraph" w:customStyle="1" w:styleId="single-line">
    <w:name w:val="single-line"/>
    <w:basedOn w:val="Normal"/>
    <w:rsid w:val="00043192"/>
    <w:pPr>
      <w:spacing w:before="100" w:beforeAutospacing="1" w:after="100" w:afterAutospacing="1"/>
    </w:pPr>
    <w:rPr>
      <w:rFonts w:ascii="Times New Roman" w:eastAsiaTheme="minorEastAsia" w:hAnsi="Times New Roman" w:cs="Times New Roman"/>
    </w:rPr>
  </w:style>
  <w:style w:type="paragraph" w:customStyle="1" w:styleId="indent-1">
    <w:name w:val="indent-1"/>
    <w:basedOn w:val="Normal"/>
    <w:rsid w:val="001C039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C039E"/>
    <w:rPr>
      <w:i/>
      <w:iCs/>
    </w:rPr>
  </w:style>
  <w:style w:type="paragraph" w:customStyle="1" w:styleId="indent-2">
    <w:name w:val="indent-2"/>
    <w:basedOn w:val="Normal"/>
    <w:rsid w:val="001C039E"/>
    <w:pPr>
      <w:spacing w:before="100" w:beforeAutospacing="1" w:after="100" w:afterAutospacing="1"/>
    </w:pPr>
    <w:rPr>
      <w:rFonts w:ascii="Times New Roman" w:eastAsia="Times New Roman" w:hAnsi="Times New Roman" w:cs="Times New Roman"/>
    </w:rPr>
  </w:style>
  <w:style w:type="character" w:customStyle="1" w:styleId="paragraph-hierarchy">
    <w:name w:val="paragraph-hierarchy"/>
    <w:basedOn w:val="DefaultParagraphFont"/>
    <w:rsid w:val="001C039E"/>
  </w:style>
  <w:style w:type="character" w:customStyle="1" w:styleId="paren">
    <w:name w:val="paren"/>
    <w:basedOn w:val="DefaultParagraphFont"/>
    <w:rsid w:val="001C039E"/>
  </w:style>
  <w:style w:type="character" w:styleId="Mention">
    <w:name w:val="Mention"/>
    <w:basedOn w:val="DefaultParagraphFont"/>
    <w:uiPriority w:val="99"/>
    <w:unhideWhenUsed/>
    <w:rsid w:val="00A97F03"/>
    <w:rPr>
      <w:color w:val="2B579A"/>
      <w:shd w:val="clear" w:color="auto" w:fill="E1DFDD"/>
    </w:rPr>
  </w:style>
  <w:style w:type="paragraph" w:styleId="Revision">
    <w:name w:val="Revision"/>
    <w:hidden/>
    <w:uiPriority w:val="99"/>
    <w:semiHidden/>
    <w:rsid w:val="006A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fdp.org/demonstrations-resources/dtu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eralregister.gov/documents/2025/01/08/2024-31486/preventing-access-to-us-sensitive-personal-data-and-government-related-data-by-countries-of-concer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5/01/08/2024-31486/preventing-access-to-us-sensitive-personal-data-and-government-related-data-by-countries-of-concer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VM">
  <a:themeElements>
    <a:clrScheme name="UVM">
      <a:dk1>
        <a:srgbClr val="000000"/>
      </a:dk1>
      <a:lt1>
        <a:srgbClr val="F7F7F7"/>
      </a:lt1>
      <a:dk2>
        <a:srgbClr val="09303C"/>
      </a:dk2>
      <a:lt2>
        <a:srgbClr val="F7F7F7"/>
      </a:lt2>
      <a:accent1>
        <a:srgbClr val="134633"/>
      </a:accent1>
      <a:accent2>
        <a:srgbClr val="FAD102"/>
      </a:accent2>
      <a:accent3>
        <a:srgbClr val="09303C"/>
      </a:accent3>
      <a:accent4>
        <a:srgbClr val="48A0DF"/>
      </a:accent4>
      <a:accent5>
        <a:srgbClr val="DB582A"/>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FAED36B7C6D64681DDFDAB4616EC9C" ma:contentTypeVersion="3" ma:contentTypeDescription="Create a new document." ma:contentTypeScope="" ma:versionID="40e0cd3fcc6fb23ab1a0c4798f6bf4ac">
  <xsd:schema xmlns:xsd="http://www.w3.org/2001/XMLSchema" xmlns:xs="http://www.w3.org/2001/XMLSchema" xmlns:p="http://schemas.microsoft.com/office/2006/metadata/properties" xmlns:ns2="0e4094b1-f061-45b7-8c75-8add8fae9bd7" targetNamespace="http://schemas.microsoft.com/office/2006/metadata/properties" ma:root="true" ma:fieldsID="2a5d9704a2b0e35356a0549a3db0f9e4" ns2:_="">
    <xsd:import namespace="0e4094b1-f061-45b7-8c75-8add8fae9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094b1-f061-45b7-8c75-8add8fae9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AE58-F8DE-7340-A684-2AFABB319CE5}">
  <ds:schemaRefs>
    <ds:schemaRef ds:uri="http://schemas.openxmlformats.org/officeDocument/2006/bibliography"/>
  </ds:schemaRefs>
</ds:datastoreItem>
</file>

<file path=customXml/itemProps2.xml><?xml version="1.0" encoding="utf-8"?>
<ds:datastoreItem xmlns:ds="http://schemas.openxmlformats.org/officeDocument/2006/customXml" ds:itemID="{68D39807-F684-4C0C-9990-5988E9D40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094b1-f061-45b7-8c75-8add8fae9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A868D-553B-4F41-A9F8-7E1B6E28EA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F04F65-3863-4637-A31B-47325249B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8535</Characters>
  <Application>Microsoft Office Word</Application>
  <DocSecurity>0</DocSecurity>
  <Lines>167</Lines>
  <Paragraphs>94</Paragraphs>
  <ScaleCrop>false</ScaleCrop>
  <Company>University of Vermont</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Lucey, Tessa</dc:creator>
  <cp:keywords/>
  <dc:description/>
  <cp:lastModifiedBy>Tessa Lucey (she/her)</cp:lastModifiedBy>
  <cp:revision>2</cp:revision>
  <dcterms:created xsi:type="dcterms:W3CDTF">2026-01-21T18:15:00Z</dcterms:created>
  <dcterms:modified xsi:type="dcterms:W3CDTF">2026-01-21T18:15:00Z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0x010100DFFAED36B7C6D64681DDFDAB4616EC9C</vt:lpwstr>
  </property>
  <property fmtid="{D5CDD505-2E9C-101B-9397-08002B2CF9AE}" pid="3" name="docLang">
    <vt:lpwstr>en</vt:lpwstr>
  </property>
</Properties>
</file>