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1BB9CD" w14:textId="77777777" w:rsidR="00B13C88" w:rsidRDefault="00B13C88" w:rsidP="0002011E">
      <w:pPr>
        <w:rPr>
          <w:b/>
        </w:rPr>
      </w:pPr>
    </w:p>
    <w:p w14:paraId="2599EE6B" w14:textId="427DB1D3" w:rsidR="00F54178" w:rsidRDefault="003B43CE" w:rsidP="0002011E">
      <w:pPr>
        <w:rPr>
          <w:b/>
        </w:rPr>
      </w:pPr>
      <w:r w:rsidRPr="003B43CE">
        <w:rPr>
          <w:b/>
        </w:rPr>
        <w:t xml:space="preserve">Larner College of Medicine (LCOM) </w:t>
      </w:r>
      <w:r w:rsidR="009E2AE7">
        <w:rPr>
          <w:b/>
        </w:rPr>
        <w:t>Faculty Non-Tenure Track (NTT)</w:t>
      </w:r>
      <w:r w:rsidR="002676D9">
        <w:rPr>
          <w:b/>
        </w:rPr>
        <w:t xml:space="preserve"> to </w:t>
      </w:r>
      <w:r w:rsidR="007378BD">
        <w:rPr>
          <w:b/>
        </w:rPr>
        <w:t>Tenure-Track Position</w:t>
      </w:r>
    </w:p>
    <w:p w14:paraId="1BB5AA18" w14:textId="77777777" w:rsidR="00785C3E" w:rsidRDefault="00785C3E" w:rsidP="0002011E">
      <w:pPr>
        <w:rPr>
          <w:b/>
        </w:rPr>
      </w:pPr>
    </w:p>
    <w:p w14:paraId="4222C507" w14:textId="765898B9" w:rsidR="0002011E" w:rsidRPr="0002011E" w:rsidRDefault="0002011E" w:rsidP="0002011E">
      <w:r w:rsidRPr="0002011E">
        <w:rPr>
          <w:b/>
        </w:rPr>
        <w:t>Objective:</w:t>
      </w:r>
      <w:r w:rsidRPr="0002011E">
        <w:t xml:space="preserve"> The University of Vermont (UVM) and the Larner College of Medicine (LCOM) are committed to the success of our students, </w:t>
      </w:r>
      <w:r w:rsidR="0039032A" w:rsidRPr="0002011E">
        <w:t>faculty,</w:t>
      </w:r>
      <w:r w:rsidRPr="0002011E">
        <w:t xml:space="preserve"> and academic units, and we want to provide our colleagues with opportunities for professional growth and career progression. There are </w:t>
      </w:r>
      <w:r w:rsidR="00741A6B">
        <w:t xml:space="preserve">exceptional </w:t>
      </w:r>
      <w:r w:rsidRPr="0002011E">
        <w:t xml:space="preserve">times when members of our faculty far exceed the expectations of their roles and in those </w:t>
      </w:r>
      <w:r w:rsidR="005316C2" w:rsidRPr="0002011E">
        <w:t>instances,</w:t>
      </w:r>
      <w:r w:rsidRPr="0002011E">
        <w:t xml:space="preserve"> it may be appropriate to consider them for </w:t>
      </w:r>
      <w:r w:rsidR="00E03CFA">
        <w:t xml:space="preserve">tenure-track </w:t>
      </w:r>
      <w:r w:rsidRPr="0002011E">
        <w:t xml:space="preserve">positions. While we want to support these individuals, we also need to be mindful of the </w:t>
      </w:r>
      <w:r w:rsidRPr="005A7EF8">
        <w:t>broader institutional interests and implications of these actions</w:t>
      </w:r>
      <w:r w:rsidR="0039032A" w:rsidRPr="005A7EF8">
        <w:t xml:space="preserve">. </w:t>
      </w:r>
      <w:r w:rsidRPr="005A7EF8">
        <w:t xml:space="preserve">These guiding principles outline the process for moving </w:t>
      </w:r>
      <w:r w:rsidR="005A7EF8" w:rsidRPr="005A7EF8">
        <w:t xml:space="preserve">a </w:t>
      </w:r>
      <w:r w:rsidRPr="005A7EF8">
        <w:t>non-tenure track (NTT) facul</w:t>
      </w:r>
      <w:r w:rsidR="00741A6B">
        <w:t>ty (e.g., research, clinical</w:t>
      </w:r>
      <w:r w:rsidR="000A6CAE">
        <w:t>, e</w:t>
      </w:r>
      <w:r w:rsidR="00887D6C">
        <w:t>ducation</w:t>
      </w:r>
      <w:r w:rsidRPr="005A7EF8">
        <w:t>) into tenure track positions.</w:t>
      </w:r>
      <w:r w:rsidRPr="0002011E">
        <w:t xml:space="preserve"> </w:t>
      </w:r>
    </w:p>
    <w:p w14:paraId="2A471F29" w14:textId="3813F36D" w:rsidR="003352BD" w:rsidRPr="003352BD" w:rsidRDefault="0002011E" w:rsidP="003352BD">
      <w:r w:rsidRPr="0002011E">
        <w:rPr>
          <w:b/>
        </w:rPr>
        <w:t xml:space="preserve">Policy: </w:t>
      </w:r>
      <w:r w:rsidR="00741A6B">
        <w:t xml:space="preserve">The standard practice </w:t>
      </w:r>
      <w:r w:rsidR="00FC4E0F">
        <w:t xml:space="preserve">for </w:t>
      </w:r>
      <w:r w:rsidRPr="0002011E">
        <w:t xml:space="preserve">filling a </w:t>
      </w:r>
      <w:r w:rsidR="00FC4E0F">
        <w:t xml:space="preserve">tenure track (TT) position </w:t>
      </w:r>
      <w:r w:rsidR="00785C3E">
        <w:t xml:space="preserve">is </w:t>
      </w:r>
      <w:r w:rsidR="00960AFA">
        <w:t>to conduct</w:t>
      </w:r>
      <w:r w:rsidR="0098138C">
        <w:t xml:space="preserve"> an external </w:t>
      </w:r>
      <w:r w:rsidR="00FC4E0F" w:rsidRPr="0002011E">
        <w:t xml:space="preserve">national </w:t>
      </w:r>
      <w:r w:rsidR="00FC4E0F">
        <w:t xml:space="preserve">search in which </w:t>
      </w:r>
      <w:r w:rsidRPr="0002011E">
        <w:t>qualified internal</w:t>
      </w:r>
      <w:r w:rsidRPr="0002011E">
        <w:rPr>
          <w:b/>
        </w:rPr>
        <w:t xml:space="preserve"> </w:t>
      </w:r>
      <w:r w:rsidRPr="0002011E">
        <w:t xml:space="preserve">candidates </w:t>
      </w:r>
      <w:r w:rsidR="00960AFA">
        <w:t>are</w:t>
      </w:r>
      <w:r w:rsidRPr="0002011E">
        <w:t xml:space="preserve"> encouraged to apply. It is valuable for internal candidates to have this experience</w:t>
      </w:r>
      <w:r w:rsidRPr="0002011E">
        <w:rPr>
          <w:b/>
        </w:rPr>
        <w:t xml:space="preserve"> </w:t>
      </w:r>
      <w:r w:rsidRPr="0002011E">
        <w:t>and for departments or programs to engage in the search process. If the internal</w:t>
      </w:r>
      <w:r w:rsidRPr="0002011E">
        <w:rPr>
          <w:b/>
        </w:rPr>
        <w:t xml:space="preserve"> </w:t>
      </w:r>
      <w:r w:rsidRPr="0002011E">
        <w:t>candidate is selected for the position, their hire is legitimized by the search. If the internal candidate is</w:t>
      </w:r>
      <w:r w:rsidRPr="0002011E">
        <w:rPr>
          <w:b/>
        </w:rPr>
        <w:t xml:space="preserve"> </w:t>
      </w:r>
      <w:r w:rsidRPr="0002011E">
        <w:t xml:space="preserve">not selected for the position, the department benefits from the hire of the more qualified candidate. In exceptional cases, </w:t>
      </w:r>
      <w:r w:rsidRPr="00FC4E0F">
        <w:t>LCOM NTT faculty may be considered for waiver hires into TT positions.</w:t>
      </w:r>
      <w:r w:rsidRPr="0002011E">
        <w:t xml:space="preserve"> Any consideration for waiver hire must specifically demonstrate evidence of </w:t>
      </w:r>
      <w:r w:rsidR="00FC4E0F">
        <w:t xml:space="preserve">the </w:t>
      </w:r>
      <w:r w:rsidRPr="0002011E">
        <w:t>Guiding Principle</w:t>
      </w:r>
      <w:r w:rsidR="00FC4E0F">
        <w:t>s</w:t>
      </w:r>
      <w:r w:rsidRPr="0002011E">
        <w:t xml:space="preserve"> </w:t>
      </w:r>
      <w:r w:rsidR="00F325FC">
        <w:t>addressed below</w:t>
      </w:r>
      <w:r w:rsidR="00771884" w:rsidRPr="00771884">
        <w:t xml:space="preserve"> </w:t>
      </w:r>
      <w:r w:rsidR="00771884">
        <w:t>with provide</w:t>
      </w:r>
      <w:r w:rsidR="00957BFA">
        <w:t>d</w:t>
      </w:r>
      <w:r w:rsidR="00771884">
        <w:t xml:space="preserve"> substantiation from the </w:t>
      </w:r>
      <w:r w:rsidR="00F325FC">
        <w:t xml:space="preserve">Department </w:t>
      </w:r>
      <w:r w:rsidR="00771884">
        <w:t>Chair.</w:t>
      </w:r>
      <w:r w:rsidR="003352BD">
        <w:t xml:space="preserve">  </w:t>
      </w:r>
      <w:r w:rsidR="003352BD" w:rsidRPr="003352BD">
        <w:t>In the rare event that a faculty member who already holds the rank of Associate Professor or Full Professor is deemed suitable for a waiver hire into a tenure-track position, with the support of the Department Chair, Dean, and Provost Office, they may request a tenure review immediately after the Provost grants conditional approval for the waiver.</w:t>
      </w:r>
    </w:p>
    <w:p w14:paraId="14CAAE6C" w14:textId="0E3AC6A8" w:rsidR="0002011E" w:rsidRPr="0002011E" w:rsidRDefault="0002011E" w:rsidP="0002011E">
      <w:r w:rsidRPr="0002011E">
        <w:rPr>
          <w:b/>
        </w:rPr>
        <w:t>Guiding Principles:</w:t>
      </w:r>
      <w:r w:rsidRPr="0002011E">
        <w:t xml:space="preserve"> </w:t>
      </w:r>
    </w:p>
    <w:p w14:paraId="415AAFF0" w14:textId="50D43174" w:rsidR="00920F29" w:rsidRDefault="0002011E" w:rsidP="00EE4546">
      <w:pPr>
        <w:spacing w:line="240" w:lineRule="auto"/>
        <w:contextualSpacing/>
      </w:pPr>
      <w:r w:rsidRPr="0002011E">
        <w:rPr>
          <w:b/>
        </w:rPr>
        <w:t>Principle 1</w:t>
      </w:r>
      <w:r w:rsidRPr="0002011E">
        <w:t xml:space="preserve">. </w:t>
      </w:r>
      <w:r w:rsidR="00920F29">
        <w:t>The faculty’s actions demonstrate evidence of meeting or exceeding</w:t>
      </w:r>
      <w:r w:rsidR="008B6183">
        <w:t xml:space="preserve"> all applicable standards and criteria </w:t>
      </w:r>
      <w:r w:rsidR="00EE4546">
        <w:t xml:space="preserve">for TT </w:t>
      </w:r>
      <w:r w:rsidRPr="0002011E">
        <w:t>as described in the LCOM Faculty Handbook and additionally in th</w:t>
      </w:r>
      <w:r w:rsidR="008B6183">
        <w:t>e LCOM Standards and Guidelines</w:t>
      </w:r>
      <w:r w:rsidR="00A23693">
        <w:t xml:space="preserve"> </w:t>
      </w:r>
      <w:r w:rsidR="00920F29">
        <w:t xml:space="preserve">and supports LCOM’s Strategic Plan </w:t>
      </w:r>
    </w:p>
    <w:p w14:paraId="3E921EEE" w14:textId="463799FF" w:rsidR="0002011E" w:rsidRDefault="00785C3E" w:rsidP="00EE4546">
      <w:pPr>
        <w:spacing w:line="240" w:lineRule="auto"/>
        <w:contextualSpacing/>
      </w:pPr>
      <w:hyperlink r:id="rId10" w:history="1">
        <w:r w:rsidRPr="00BA6B39">
          <w:rPr>
            <w:rStyle w:val="Hyperlink"/>
          </w:rPr>
          <w:t>http://www.med.uvm.edu/vision2025/strategic</w:t>
        </w:r>
      </w:hyperlink>
    </w:p>
    <w:p w14:paraId="038B3458" w14:textId="77777777" w:rsidR="00785C3E" w:rsidRDefault="00785C3E" w:rsidP="00EE4546">
      <w:pPr>
        <w:spacing w:line="240" w:lineRule="auto"/>
        <w:contextualSpacing/>
      </w:pPr>
    </w:p>
    <w:p w14:paraId="08983307" w14:textId="64467AE6" w:rsidR="009A6C04" w:rsidRDefault="0002011E" w:rsidP="000A6CAE">
      <w:pPr>
        <w:spacing w:before="240" w:line="240" w:lineRule="auto"/>
        <w:contextualSpacing/>
      </w:pPr>
      <w:r w:rsidRPr="0002011E">
        <w:rPr>
          <w:b/>
        </w:rPr>
        <w:t>Principle 2</w:t>
      </w:r>
      <w:r w:rsidR="000A6CAE">
        <w:rPr>
          <w:b/>
        </w:rPr>
        <w:t>.</w:t>
      </w:r>
      <w:r w:rsidR="00A23693">
        <w:t xml:space="preserve"> </w:t>
      </w:r>
      <w:r w:rsidR="009A6C04">
        <w:t xml:space="preserve">Is aligned with the University’s diversity goals as </w:t>
      </w:r>
      <w:r w:rsidR="00CB7E43">
        <w:t>exemplified in</w:t>
      </w:r>
      <w:r w:rsidR="000A6CAE">
        <w:t xml:space="preserve"> </w:t>
      </w:r>
      <w:r w:rsidR="000A6CAE" w:rsidRPr="0002011E">
        <w:t xml:space="preserve">LCOM’s </w:t>
      </w:r>
      <w:r w:rsidR="000A6CAE">
        <w:t xml:space="preserve">Statement on Professionalism and UVM’s Our Common Ground </w:t>
      </w:r>
    </w:p>
    <w:p w14:paraId="45AAA34B" w14:textId="57FC6414" w:rsidR="000A6CAE" w:rsidRDefault="000A6CAE" w:rsidP="000A6CAE">
      <w:pPr>
        <w:spacing w:before="240" w:line="240" w:lineRule="auto"/>
        <w:contextualSpacing/>
      </w:pPr>
      <w:hyperlink r:id="rId11" w:history="1">
        <w:r w:rsidRPr="00637C0B">
          <w:rPr>
            <w:rStyle w:val="Hyperlink"/>
          </w:rPr>
          <w:t>https://med.uvm.edu/com/professionalism</w:t>
        </w:r>
      </w:hyperlink>
      <w:r>
        <w:t xml:space="preserve"> </w:t>
      </w:r>
    </w:p>
    <w:p w14:paraId="32CCA1B5" w14:textId="3FD703D6" w:rsidR="000A6CAE" w:rsidRDefault="000A6CAE" w:rsidP="000A6CAE">
      <w:pPr>
        <w:spacing w:before="240" w:line="240" w:lineRule="auto"/>
        <w:contextualSpacing/>
      </w:pPr>
      <w:hyperlink r:id="rId12" w:history="1">
        <w:r w:rsidRPr="00637C0B">
          <w:rPr>
            <w:rStyle w:val="Hyperlink"/>
          </w:rPr>
          <w:t>https://www.uvm.edu/president/our-common-ground</w:t>
        </w:r>
      </w:hyperlink>
    </w:p>
    <w:p w14:paraId="4414D0C5" w14:textId="77777777" w:rsidR="00D06A7B" w:rsidRDefault="00D06A7B" w:rsidP="00957BFA">
      <w:pPr>
        <w:spacing w:line="240" w:lineRule="auto"/>
        <w:contextualSpacing/>
        <w:rPr>
          <w:b/>
        </w:rPr>
      </w:pPr>
    </w:p>
    <w:p w14:paraId="4DCF24A0" w14:textId="22C15475" w:rsidR="009A6C04" w:rsidRPr="00170AE5" w:rsidRDefault="009A6C04" w:rsidP="00A23693">
      <w:pPr>
        <w:spacing w:line="240" w:lineRule="auto"/>
        <w:contextualSpacing/>
      </w:pPr>
      <w:r>
        <w:rPr>
          <w:b/>
        </w:rPr>
        <w:t xml:space="preserve">Principle 3. </w:t>
      </w:r>
      <w:r>
        <w:t>Addresses a department’s immediate needs and/or national recruitment challenge in a specific a</w:t>
      </w:r>
      <w:r w:rsidR="004E51CD">
        <w:t>cademic expertise</w:t>
      </w:r>
    </w:p>
    <w:p w14:paraId="081DD454" w14:textId="77777777" w:rsidR="00A23693" w:rsidRDefault="00A23693" w:rsidP="00957BFA">
      <w:pPr>
        <w:spacing w:line="240" w:lineRule="auto"/>
        <w:contextualSpacing/>
      </w:pPr>
    </w:p>
    <w:p w14:paraId="28BD2686" w14:textId="511139B7" w:rsidR="00A23693" w:rsidRDefault="00A23693" w:rsidP="00FC0199">
      <w:pPr>
        <w:spacing w:line="240" w:lineRule="auto"/>
        <w:contextualSpacing/>
      </w:pPr>
      <w:r w:rsidRPr="00A23693">
        <w:rPr>
          <w:b/>
        </w:rPr>
        <w:t>Principle 4</w:t>
      </w:r>
      <w:r w:rsidR="0039032A" w:rsidRPr="00A23693">
        <w:rPr>
          <w:b/>
        </w:rPr>
        <w:t>.</w:t>
      </w:r>
      <w:r w:rsidR="0039032A">
        <w:t xml:space="preserve"> </w:t>
      </w:r>
      <w:r w:rsidR="00920F29">
        <w:t>The transition of the faculty to the TT position meets the s</w:t>
      </w:r>
      <w:r w:rsidR="000A6CAE" w:rsidRPr="00EB2DFA">
        <w:t xml:space="preserve">trategic </w:t>
      </w:r>
      <w:r w:rsidR="000A6CAE">
        <w:t xml:space="preserve">and financial </w:t>
      </w:r>
      <w:r w:rsidR="00920F29">
        <w:t xml:space="preserve">goals of the </w:t>
      </w:r>
      <w:r w:rsidR="00CB7E43">
        <w:t>faculty’s department</w:t>
      </w:r>
      <w:r w:rsidR="000A6CAE">
        <w:t xml:space="preserve"> </w:t>
      </w:r>
    </w:p>
    <w:p w14:paraId="02216E8A" w14:textId="77777777" w:rsidR="00FC0199" w:rsidRDefault="00FC0199" w:rsidP="00FC0199">
      <w:pPr>
        <w:spacing w:line="240" w:lineRule="auto"/>
        <w:contextualSpacing/>
      </w:pPr>
    </w:p>
    <w:p w14:paraId="4BB7E862" w14:textId="77777777" w:rsidR="00260574" w:rsidRPr="00FC0199" w:rsidRDefault="00260574" w:rsidP="00FC0199">
      <w:pPr>
        <w:spacing w:line="240" w:lineRule="auto"/>
        <w:contextualSpacing/>
      </w:pPr>
    </w:p>
    <w:p w14:paraId="5D7A9E34" w14:textId="77777777" w:rsidR="00260574" w:rsidRDefault="00260574" w:rsidP="0002011E">
      <w:pPr>
        <w:rPr>
          <w:b/>
        </w:rPr>
      </w:pPr>
    </w:p>
    <w:p w14:paraId="29A1CD08" w14:textId="77777777" w:rsidR="00462549" w:rsidRDefault="00462549" w:rsidP="0002011E">
      <w:pPr>
        <w:rPr>
          <w:b/>
        </w:rPr>
      </w:pPr>
    </w:p>
    <w:p w14:paraId="0C0C4C59" w14:textId="44F5ED6A" w:rsidR="0002011E" w:rsidRPr="00462549" w:rsidRDefault="0002011E" w:rsidP="0002011E">
      <w:pPr>
        <w:rPr>
          <w:b/>
          <w:u w:val="single"/>
        </w:rPr>
      </w:pPr>
      <w:r w:rsidRPr="00462549">
        <w:rPr>
          <w:b/>
          <w:u w:val="single"/>
        </w:rPr>
        <w:t xml:space="preserve">Procedure: </w:t>
      </w:r>
    </w:p>
    <w:p w14:paraId="08B67EC0" w14:textId="1CBD727A" w:rsidR="008C1ACC" w:rsidRDefault="00A23693" w:rsidP="002C6C90">
      <w:pPr>
        <w:spacing w:line="240" w:lineRule="auto"/>
        <w:contextualSpacing/>
      </w:pPr>
      <w:r>
        <w:t xml:space="preserve">This policy is specific to </w:t>
      </w:r>
      <w:r w:rsidR="006F1014">
        <w:t xml:space="preserve">rare </w:t>
      </w:r>
      <w:r>
        <w:t xml:space="preserve">cases that are determined </w:t>
      </w:r>
      <w:r w:rsidR="00960AFA">
        <w:t>warrant exception from</w:t>
      </w:r>
      <w:r>
        <w:t xml:space="preserve"> the standard practice for filling TT positions. Consideration for waiver hire must </w:t>
      </w:r>
      <w:r w:rsidR="00380A35">
        <w:t xml:space="preserve">be </w:t>
      </w:r>
      <w:r w:rsidR="00960AFA">
        <w:t xml:space="preserve">justified </w:t>
      </w:r>
      <w:r w:rsidR="00380A35">
        <w:t>by Department Chair</w:t>
      </w:r>
      <w:r>
        <w:t xml:space="preserve"> based on the Guiding Principles and follow the Procedure listed below. </w:t>
      </w:r>
      <w:r w:rsidR="00170AE5">
        <w:t xml:space="preserve">This process </w:t>
      </w:r>
      <w:r w:rsidR="00170AE5" w:rsidRPr="00785C3E">
        <w:rPr>
          <w:u w:val="single"/>
        </w:rPr>
        <w:t>must pr</w:t>
      </w:r>
      <w:r w:rsidR="005126B2">
        <w:rPr>
          <w:u w:val="single"/>
        </w:rPr>
        <w:t>e</w:t>
      </w:r>
      <w:r w:rsidR="00170AE5" w:rsidRPr="00785C3E">
        <w:rPr>
          <w:u w:val="single"/>
        </w:rPr>
        <w:t>ced</w:t>
      </w:r>
      <w:r w:rsidR="005126B2">
        <w:rPr>
          <w:u w:val="single"/>
        </w:rPr>
        <w:t>e</w:t>
      </w:r>
      <w:r w:rsidR="00170AE5" w:rsidRPr="00785C3E">
        <w:rPr>
          <w:u w:val="single"/>
        </w:rPr>
        <w:t xml:space="preserve"> any commitment</w:t>
      </w:r>
      <w:r w:rsidR="00170AE5">
        <w:t xml:space="preserve"> to an individual waiver hire candidate. </w:t>
      </w:r>
    </w:p>
    <w:p w14:paraId="1AC9FE4A" w14:textId="77777777" w:rsidR="00827394" w:rsidRDefault="00827394" w:rsidP="006653B2">
      <w:pPr>
        <w:rPr>
          <w:b/>
          <w:u w:val="single"/>
        </w:rPr>
      </w:pPr>
    </w:p>
    <w:p w14:paraId="6AC2D1E4" w14:textId="6FDE2343" w:rsidR="00827394" w:rsidRDefault="00827394" w:rsidP="006653B2">
      <w:pPr>
        <w:rPr>
          <w:b/>
          <w:u w:val="single"/>
        </w:rPr>
      </w:pPr>
      <w:r>
        <w:rPr>
          <w:b/>
          <w:u w:val="single"/>
        </w:rPr>
        <w:t>Process Initiation:</w:t>
      </w:r>
    </w:p>
    <w:p w14:paraId="12A5532D" w14:textId="77777777" w:rsidR="00E31587" w:rsidRPr="0075275A" w:rsidRDefault="00E31587" w:rsidP="00E31587">
      <w:pPr>
        <w:rPr>
          <w:b/>
        </w:rPr>
      </w:pPr>
      <w:r>
        <w:t xml:space="preserve">Please refer to Procedures for Tenure Waiver – LCOM Faculty Non-Tenure Track to Tenure Track Position document for process steps.  </w:t>
      </w:r>
    </w:p>
    <w:p w14:paraId="6F681F40" w14:textId="515A0CC6" w:rsidR="00785C3E" w:rsidRDefault="00117776" w:rsidP="00B607D7">
      <w:r>
        <w:rPr>
          <w:b/>
          <w:u w:val="single"/>
        </w:rPr>
        <w:br/>
      </w:r>
      <w:r w:rsidR="00785C3E" w:rsidRPr="00785C3E">
        <w:rPr>
          <w:b/>
          <w:u w:val="single"/>
        </w:rPr>
        <w:t>Process of Decision</w:t>
      </w:r>
      <w:r w:rsidR="00EA11B2" w:rsidRPr="00EA11B2">
        <w:rPr>
          <w:b/>
        </w:rPr>
        <w:t>:</w:t>
      </w:r>
      <w:r w:rsidR="00EA11B2" w:rsidRPr="00EA11B2">
        <w:t xml:space="preserve"> </w:t>
      </w:r>
    </w:p>
    <w:p w14:paraId="56CEFF54" w14:textId="2B225D2D" w:rsidR="0075275A" w:rsidRPr="0075275A" w:rsidRDefault="00EA11B2" w:rsidP="0075275A">
      <w:pPr>
        <w:rPr>
          <w:b/>
        </w:rPr>
      </w:pPr>
      <w:r w:rsidRPr="00EA11B2">
        <w:t xml:space="preserve">Following the Dean-level approval, </w:t>
      </w:r>
      <w:r w:rsidR="00397078">
        <w:t>the</w:t>
      </w:r>
      <w:r w:rsidRPr="00EA11B2">
        <w:t xml:space="preserve"> waiver proposal </w:t>
      </w:r>
      <w:r w:rsidR="00397078">
        <w:t>will</w:t>
      </w:r>
      <w:r w:rsidRPr="00EA11B2">
        <w:t xml:space="preserve"> be submitted to the </w:t>
      </w:r>
      <w:r w:rsidR="00B607D7">
        <w:t>V</w:t>
      </w:r>
      <w:r w:rsidRPr="00EA11B2">
        <w:t xml:space="preserve">ice </w:t>
      </w:r>
      <w:r w:rsidR="00B607D7">
        <w:t>P</w:t>
      </w:r>
      <w:r w:rsidRPr="00EA11B2">
        <w:t xml:space="preserve">rovost for </w:t>
      </w:r>
      <w:r w:rsidR="00B607D7">
        <w:t>F</w:t>
      </w:r>
      <w:r w:rsidRPr="00EA11B2">
        <w:t xml:space="preserve">aculty </w:t>
      </w:r>
      <w:r w:rsidR="00B607D7">
        <w:t>A</w:t>
      </w:r>
      <w:r w:rsidRPr="00EA11B2">
        <w:t>ffairs (VPFA)</w:t>
      </w:r>
      <w:r w:rsidR="0075275A">
        <w:t xml:space="preserve"> via </w:t>
      </w:r>
      <w:r w:rsidR="00397078">
        <w:t>the</w:t>
      </w:r>
      <w:r w:rsidR="0075275A">
        <w:t xml:space="preserve"> waiver action in PeopleAdmin</w:t>
      </w:r>
      <w:r w:rsidRPr="00EA11B2">
        <w:t xml:space="preserve">. The VPFA and </w:t>
      </w:r>
      <w:r w:rsidR="00B607D7">
        <w:t>P</w:t>
      </w:r>
      <w:r w:rsidRPr="00EA11B2">
        <w:t xml:space="preserve">rovost will review the request and if the request is compelling, and consistent with the guiding principles, it may receive a conditional approval to be followed by consideration for final approval. Consultation with the LCOM Dean and </w:t>
      </w:r>
      <w:r w:rsidR="00B607D7">
        <w:t>D</w:t>
      </w:r>
      <w:r w:rsidRPr="00EA11B2">
        <w:t xml:space="preserve">epartment </w:t>
      </w:r>
      <w:r w:rsidR="00B607D7">
        <w:t>C</w:t>
      </w:r>
      <w:r w:rsidRPr="00EA11B2">
        <w:t>hair may be necessary.</w:t>
      </w:r>
      <w:r w:rsidR="0075275A">
        <w:t xml:space="preserve">  </w:t>
      </w:r>
    </w:p>
    <w:p w14:paraId="75A50190" w14:textId="2CCE7D88" w:rsidR="008C1ACC" w:rsidRDefault="008C1ACC"/>
    <w:sectPr w:rsidR="008C1ACC" w:rsidSect="00751054">
      <w:headerReference w:type="default" r:id="rId13"/>
      <w:footerReference w:type="default" r:id="rId14"/>
      <w:pgSz w:w="12240" w:h="15840"/>
      <w:pgMar w:top="1440" w:right="1440" w:bottom="1440" w:left="144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954116" w14:textId="77777777" w:rsidR="009E7EC8" w:rsidRDefault="009E7EC8" w:rsidP="00373150">
      <w:pPr>
        <w:spacing w:after="0" w:line="240" w:lineRule="auto"/>
      </w:pPr>
      <w:r>
        <w:separator/>
      </w:r>
    </w:p>
  </w:endnote>
  <w:endnote w:type="continuationSeparator" w:id="0">
    <w:p w14:paraId="60CA86B7" w14:textId="77777777" w:rsidR="009E7EC8" w:rsidRDefault="009E7EC8" w:rsidP="00373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909C25" w14:textId="01F9A763" w:rsidR="008C78E0" w:rsidRPr="0030103A" w:rsidRDefault="00F61321">
    <w:pPr>
      <w:pStyle w:val="Footer"/>
      <w:rPr>
        <w:i/>
        <w:iCs/>
        <w:sz w:val="16"/>
        <w:szCs w:val="16"/>
      </w:rPr>
    </w:pPr>
    <w:r w:rsidRPr="0030103A">
      <w:rPr>
        <w:i/>
        <w:iCs/>
        <w:sz w:val="16"/>
        <w:szCs w:val="16"/>
      </w:rPr>
      <w:t>Approved:  UVM Provost Office 6/8/</w:t>
    </w:r>
    <w:r w:rsidR="0030103A" w:rsidRPr="0030103A">
      <w:rPr>
        <w:i/>
        <w:iCs/>
        <w:sz w:val="16"/>
        <w:szCs w:val="16"/>
      </w:rPr>
      <w:t>22</w:t>
    </w:r>
  </w:p>
  <w:p w14:paraId="6F41415D" w14:textId="77777777" w:rsidR="00373150" w:rsidRDefault="003731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ED69C9" w14:textId="77777777" w:rsidR="009E7EC8" w:rsidRDefault="009E7EC8" w:rsidP="00373150">
      <w:pPr>
        <w:spacing w:after="0" w:line="240" w:lineRule="auto"/>
      </w:pPr>
      <w:r>
        <w:separator/>
      </w:r>
    </w:p>
  </w:footnote>
  <w:footnote w:type="continuationSeparator" w:id="0">
    <w:p w14:paraId="63A61CAE" w14:textId="77777777" w:rsidR="009E7EC8" w:rsidRDefault="009E7EC8" w:rsidP="003731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0B5090" w14:textId="07006859" w:rsidR="00352DFC" w:rsidRDefault="00352DFC">
    <w:pPr>
      <w:pStyle w:val="Header"/>
    </w:pPr>
  </w:p>
  <w:p w14:paraId="2023A056" w14:textId="7CBAF044" w:rsidR="00352DFC" w:rsidRDefault="008007B5">
    <w:pPr>
      <w:pStyle w:val="Header"/>
    </w:pPr>
    <w:r>
      <w:rPr>
        <w:noProof/>
      </w:rPr>
      <w:drawing>
        <wp:inline distT="0" distB="0" distL="0" distR="0" wp14:anchorId="2AA063AE" wp14:editId="2F5330E8">
          <wp:extent cx="1940523" cy="457200"/>
          <wp:effectExtent l="0" t="0" r="3175" b="0"/>
          <wp:docPr id="1" name="Picture 1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graphical user interface&#10;&#10;Description automatically generated"/>
                  <pic:cNvPicPr/>
                </pic:nvPicPr>
                <pic:blipFill rotWithShape="1">
                  <a:blip r:embed="rId1"/>
                  <a:srcRect r="602"/>
                  <a:stretch/>
                </pic:blipFill>
                <pic:spPr bwMode="auto">
                  <a:xfrm>
                    <a:off x="0" y="0"/>
                    <a:ext cx="1940523" cy="457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27CBA"/>
    <w:multiLevelType w:val="hybridMultilevel"/>
    <w:tmpl w:val="87AA2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75B2D"/>
    <w:multiLevelType w:val="hybridMultilevel"/>
    <w:tmpl w:val="294E22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8459C"/>
    <w:multiLevelType w:val="hybridMultilevel"/>
    <w:tmpl w:val="79726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B122B8"/>
    <w:multiLevelType w:val="hybridMultilevel"/>
    <w:tmpl w:val="164CC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E688E0">
      <w:numFmt w:val="bullet"/>
      <w:lvlText w:val="•"/>
      <w:lvlJc w:val="left"/>
      <w:pPr>
        <w:ind w:left="1800" w:hanging="72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2D095E"/>
    <w:multiLevelType w:val="hybridMultilevel"/>
    <w:tmpl w:val="4D4010C2"/>
    <w:lvl w:ilvl="0" w:tplc="42809D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8527012">
    <w:abstractNumId w:val="4"/>
  </w:num>
  <w:num w:numId="2" w16cid:durableId="1416440955">
    <w:abstractNumId w:val="1"/>
  </w:num>
  <w:num w:numId="3" w16cid:durableId="1570072787">
    <w:abstractNumId w:val="3"/>
  </w:num>
  <w:num w:numId="4" w16cid:durableId="390083969">
    <w:abstractNumId w:val="0"/>
  </w:num>
  <w:num w:numId="5" w16cid:durableId="4276272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11E"/>
    <w:rsid w:val="0002011E"/>
    <w:rsid w:val="000239B3"/>
    <w:rsid w:val="00055A68"/>
    <w:rsid w:val="000712CB"/>
    <w:rsid w:val="0007342A"/>
    <w:rsid w:val="000A6CAE"/>
    <w:rsid w:val="00117776"/>
    <w:rsid w:val="00123342"/>
    <w:rsid w:val="0013254D"/>
    <w:rsid w:val="00170AE5"/>
    <w:rsid w:val="001C7F3B"/>
    <w:rsid w:val="001C7FC4"/>
    <w:rsid w:val="001D3CD2"/>
    <w:rsid w:val="00260574"/>
    <w:rsid w:val="00262734"/>
    <w:rsid w:val="002676D9"/>
    <w:rsid w:val="00271DBE"/>
    <w:rsid w:val="002762EE"/>
    <w:rsid w:val="002948F3"/>
    <w:rsid w:val="002C6B04"/>
    <w:rsid w:val="002C6C90"/>
    <w:rsid w:val="0030103A"/>
    <w:rsid w:val="003352BD"/>
    <w:rsid w:val="00352DFC"/>
    <w:rsid w:val="00355889"/>
    <w:rsid w:val="00373150"/>
    <w:rsid w:val="00380A35"/>
    <w:rsid w:val="0039032A"/>
    <w:rsid w:val="0039580B"/>
    <w:rsid w:val="00397078"/>
    <w:rsid w:val="003B43CE"/>
    <w:rsid w:val="00406459"/>
    <w:rsid w:val="00433179"/>
    <w:rsid w:val="00462549"/>
    <w:rsid w:val="004D7A5D"/>
    <w:rsid w:val="004E51CD"/>
    <w:rsid w:val="004E63D3"/>
    <w:rsid w:val="005126B2"/>
    <w:rsid w:val="005241DA"/>
    <w:rsid w:val="005316C2"/>
    <w:rsid w:val="00556C1A"/>
    <w:rsid w:val="00557DE8"/>
    <w:rsid w:val="005A7EF8"/>
    <w:rsid w:val="005E1EBC"/>
    <w:rsid w:val="005E2C30"/>
    <w:rsid w:val="006305C4"/>
    <w:rsid w:val="006653B2"/>
    <w:rsid w:val="006C2425"/>
    <w:rsid w:val="006E5AC6"/>
    <w:rsid w:val="006F1014"/>
    <w:rsid w:val="007378BD"/>
    <w:rsid w:val="00741A6B"/>
    <w:rsid w:val="00751054"/>
    <w:rsid w:val="0075275A"/>
    <w:rsid w:val="00771884"/>
    <w:rsid w:val="00785C3E"/>
    <w:rsid w:val="007C622D"/>
    <w:rsid w:val="008007B5"/>
    <w:rsid w:val="00827394"/>
    <w:rsid w:val="00834719"/>
    <w:rsid w:val="00881BD2"/>
    <w:rsid w:val="00887D6C"/>
    <w:rsid w:val="008B6183"/>
    <w:rsid w:val="008B67C4"/>
    <w:rsid w:val="008B68F2"/>
    <w:rsid w:val="008C1ACC"/>
    <w:rsid w:val="008C78E0"/>
    <w:rsid w:val="00920F29"/>
    <w:rsid w:val="00957BFA"/>
    <w:rsid w:val="00960AFA"/>
    <w:rsid w:val="0098138C"/>
    <w:rsid w:val="009A56EE"/>
    <w:rsid w:val="009A6C04"/>
    <w:rsid w:val="009C3195"/>
    <w:rsid w:val="009E2AE7"/>
    <w:rsid w:val="009E7EC8"/>
    <w:rsid w:val="00A132C4"/>
    <w:rsid w:val="00A17748"/>
    <w:rsid w:val="00A2203B"/>
    <w:rsid w:val="00A227DE"/>
    <w:rsid w:val="00A23693"/>
    <w:rsid w:val="00A328F2"/>
    <w:rsid w:val="00AB76EB"/>
    <w:rsid w:val="00AC21D4"/>
    <w:rsid w:val="00B11CFA"/>
    <w:rsid w:val="00B13C88"/>
    <w:rsid w:val="00B607D7"/>
    <w:rsid w:val="00BC5DE1"/>
    <w:rsid w:val="00BF2942"/>
    <w:rsid w:val="00C52088"/>
    <w:rsid w:val="00C56ADA"/>
    <w:rsid w:val="00C81C79"/>
    <w:rsid w:val="00CB3C3D"/>
    <w:rsid w:val="00CB7E43"/>
    <w:rsid w:val="00D06A7B"/>
    <w:rsid w:val="00D7535F"/>
    <w:rsid w:val="00D86CBD"/>
    <w:rsid w:val="00E03CFA"/>
    <w:rsid w:val="00E05826"/>
    <w:rsid w:val="00E11D55"/>
    <w:rsid w:val="00E2345E"/>
    <w:rsid w:val="00E31587"/>
    <w:rsid w:val="00EA11B2"/>
    <w:rsid w:val="00EB2DFA"/>
    <w:rsid w:val="00EB51C5"/>
    <w:rsid w:val="00ED12DC"/>
    <w:rsid w:val="00EE2CF8"/>
    <w:rsid w:val="00EE4546"/>
    <w:rsid w:val="00F325FC"/>
    <w:rsid w:val="00F43CFA"/>
    <w:rsid w:val="00F54178"/>
    <w:rsid w:val="00F61321"/>
    <w:rsid w:val="00F95DD3"/>
    <w:rsid w:val="00FC0199"/>
    <w:rsid w:val="00FC4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C6E0A2"/>
  <w15:chartTrackingRefBased/>
  <w15:docId w15:val="{E2B1CADB-922B-4953-A3DB-E02F9220E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0201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01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011E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01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011E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7F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7FC4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A6CA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2739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731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3150"/>
  </w:style>
  <w:style w:type="paragraph" w:styleId="Footer">
    <w:name w:val="footer"/>
    <w:basedOn w:val="Normal"/>
    <w:link w:val="FooterChar"/>
    <w:uiPriority w:val="99"/>
    <w:unhideWhenUsed/>
    <w:rsid w:val="003731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3150"/>
  </w:style>
  <w:style w:type="paragraph" w:styleId="Revision">
    <w:name w:val="Revision"/>
    <w:hidden/>
    <w:uiPriority w:val="99"/>
    <w:semiHidden/>
    <w:rsid w:val="0075275A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5126B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uvm.edu/president/our-common-ground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med.uvm.edu/com/professionalism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www.med.uvm.edu/vision2025/strategic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D6C3DF5805E541AD819B10363E88AF" ma:contentTypeVersion="14" ma:contentTypeDescription="Create a new document." ma:contentTypeScope="" ma:versionID="f2fe295de7abd156b4e7fa90955977c1">
  <xsd:schema xmlns:xsd="http://www.w3.org/2001/XMLSchema" xmlns:xs="http://www.w3.org/2001/XMLSchema" xmlns:p="http://schemas.microsoft.com/office/2006/metadata/properties" xmlns:ns3="c6d91e99-1ddb-41ec-af59-4bbd8a322f72" xmlns:ns4="72ce08b6-42db-4d50-b15b-b3ea6dfe05a9" targetNamespace="http://schemas.microsoft.com/office/2006/metadata/properties" ma:root="true" ma:fieldsID="dc2e29fba9cde63576ea6f9342aaaa4e" ns3:_="" ns4:_="">
    <xsd:import namespace="c6d91e99-1ddb-41ec-af59-4bbd8a322f72"/>
    <xsd:import namespace="72ce08b6-42db-4d50-b15b-b3ea6dfe05a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d91e99-1ddb-41ec-af59-4bbd8a322f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ce08b6-42db-4d50-b15b-b3ea6dfe05a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3DF955-6959-47A2-BA5A-6DB6DA493A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46275C-599A-400A-8089-E74A741514C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695B184-9C2B-4DEC-ADFA-875EC47B77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d91e99-1ddb-41ec-af59-4bbd8a322f72"/>
    <ds:schemaRef ds:uri="72ce08b6-42db-4d50-b15b-b3ea6dfe05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593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Vermont Health Network</Company>
  <LinksUpToDate>false</LinksUpToDate>
  <CharactersWithSpaces>3969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Wilcox, Rebecca</dc:creator>
  <cp:keywords/>
  <dc:description/>
  <cp:lastModifiedBy>Page, Jeanna M</cp:lastModifiedBy>
  <cp:revision>2</cp:revision>
  <cp:lastPrinted>2023-06-07T19:10:00Z</cp:lastPrinted>
  <dcterms:created xsi:type="dcterms:W3CDTF">2024-12-13T21:44:00Z</dcterms:created>
  <dcterms:modified xsi:type="dcterms:W3CDTF">2024-12-13T21:44:00Z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0x01010085D6C3DF5805E541AD819B10363E88AF</vt:lpwstr>
  </property>
</Properties>
</file>