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F9913F" wp14:paraId="219F6241" wp14:textId="2097A271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17F9913F" wp14:paraId="19F403C1" wp14:textId="240C55F6">
      <w:pPr>
        <w:pStyle w:val="Heading5"/>
        <w:shd w:val="clear" w:color="auto" w:fill="FFFFFF" w:themeFill="background1"/>
        <w:spacing w:before="0" w:beforeAutospacing="off" w:after="153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Peer-Reviewed Articles:</w:t>
      </w:r>
    </w:p>
    <w:p xmlns:wp14="http://schemas.microsoft.com/office/word/2010/wordml" w:rsidP="17F9913F" wp14:paraId="035324E4" wp14:textId="0009BBB1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 letto con il nemico: prostituzione e politica novelle di Pietro Fortini (1496ca-1562)” forthcoming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Letteratura Italiana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:rsidP="17F9913F" wp14:paraId="36FE601F" wp14:textId="5A64B641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“Giovan Battista Giraldi Cinzio”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Literary Encyclopedia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:rsidP="17F9913F" wp14:paraId="7A7489E5" wp14:textId="611F782B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“Finalmente libera, ma non per molto: la vedova nella trattatistica italiana del XVI secolo”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Studi Italiani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2015, volume XXXIII, 1, pp. 187-214.</w:t>
      </w:r>
    </w:p>
    <w:p xmlns:wp14="http://schemas.microsoft.com/office/word/2010/wordml" w:rsidP="17F9913F" wp14:paraId="5ED22A6C" wp14:textId="36D9A06D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“«Come vi mando a dire una cosa fatela»: individualità e iniziativa femminili nelle lettere della vedova Maria Savorgnan,”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NeMLA Italian Studies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2013, volume XXXV, pp. 72-99.</w:t>
      </w:r>
    </w:p>
    <w:p xmlns:wp14="http://schemas.microsoft.com/office/word/2010/wordml" w:rsidP="17F9913F" wp14:paraId="1415E3FA" wp14:textId="71D42D7A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“Camilla Pisana, la perfetta moglie?: tentativi di affermazione personale di una cortigiana del Rinascimento,”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Italica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2011, volume 88, 4, pp. 565-586.</w:t>
      </w:r>
    </w:p>
    <w:p xmlns:wp14="http://schemas.microsoft.com/office/word/2010/wordml" w:rsidP="17F9913F" wp14:paraId="255C3547" wp14:textId="07D6FB3A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“Come creta da plasmare: la XLVIII novella di Masuccio Salernitano”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Studi Italiani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2011, volume XXIX, 1, pp. 1-25.</w:t>
      </w:r>
    </w:p>
    <w:p xmlns:wp14="http://schemas.microsoft.com/office/word/2010/wordml" w:rsidP="17F9913F" wp14:paraId="230B76ED" wp14:textId="16F35695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“La vertù ancora appresso ai barbari è onorata”: limiti all’incontro interreligioso nelle novelle di Bandello e gli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Ecatommiti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di Giraldi Cinzio”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Forum Italicum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2011, volume 45, 1, pp. 5-31.</w:t>
      </w:r>
    </w:p>
    <w:p xmlns:wp14="http://schemas.microsoft.com/office/word/2010/wordml" w:rsidP="17F9913F" wp14:paraId="33709DB5" wp14:textId="31A47B44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“Decostruzione disgustosa e definizione di classe nella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Tariffa delle Puttane di Venegia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”,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Letteratura Italiana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2010, volume XXVIII, 1, pp. 29-49.</w:t>
      </w:r>
    </w:p>
    <w:p xmlns:wp14="http://schemas.microsoft.com/office/word/2010/wordml" w:rsidP="17F9913F" wp14:paraId="61B8D5B9" wp14:textId="09E19741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“Barbari fratelli: identità cristiane e mussulmane nelle novelle del Bandello,”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Quarterly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2008, volume XLV, pp. 5-19.</w:t>
      </w:r>
    </w:p>
    <w:p xmlns:wp14="http://schemas.microsoft.com/office/word/2010/wordml" w:rsidP="17F9913F" wp14:paraId="3F410934" wp14:textId="09390691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“Tra atto sessuale e marchio d’identità: aspetti della sodomia in alcune novelle dal XIV al XVI secolo”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Rivista di Letteratura Italiana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2007, volume XXV, 2, pp. 25-39.</w:t>
      </w:r>
    </w:p>
    <w:p xmlns:wp14="http://schemas.microsoft.com/office/word/2010/wordml" w:rsidP="17F9913F" wp14:paraId="67FF6A1D" wp14:textId="6233F16D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“Genitori e figli nell’Italia de «Il grande fratello»”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Identità e diversità nella lingua e nella letteratura italiana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(Proceedings of the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Associazione Internazionale di Studi Letterari e Linguistici Italiani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conference, Lovanio - Antwerp – Brussels, 16-19 July 2003), ed. by M. Bastiansen et al. Firenze: Franco Cesati Editore, 2007, vol. I, pp. 625-633.</w:t>
      </w:r>
    </w:p>
    <w:p xmlns:wp14="http://schemas.microsoft.com/office/word/2010/wordml" w:rsidP="17F9913F" wp14:paraId="4CFA3B5F" wp14:textId="4372656F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“La figura dello straniero nel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Decameron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: Boccaccio tra Parigi ed Alessandria d’Egitto”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 e Europa: dalla cultura nazionale all'interculturalismo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(Proceedings of the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Associazione Internazionale Professori d’Italiano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conference , Cracovia, 25-29 August 2004), ed. by B. Van den Bossche et al. Firenze: Franco Cesati Editore, 2006, vol. II, pp. 589-596.</w:t>
      </w:r>
    </w:p>
    <w:p xmlns:wp14="http://schemas.microsoft.com/office/word/2010/wordml" w:rsidP="17F9913F" wp14:paraId="5C7A3BEB" wp14:textId="1B10A976">
      <w:pPr>
        <w:shd w:val="clear" w:color="auto" w:fill="FFFFFF" w:themeFill="background1"/>
        <w:spacing w:before="0" w:beforeAutospacing="off" w:after="340" w:afterAutospacing="off"/>
      </w:pP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“Il mare è …come lui: personificazione plurisemantica ne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L’isola di Arturo”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«…e c’è di mezzo il mare»: lingua, letteratura e civiltà marina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(Proceedings of the </w:t>
      </w:r>
      <w:r w:rsidRPr="17F9913F" w:rsidR="74A5989D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Associazione Internazionale dei Professori di Italiano</w:t>
      </w:r>
      <w:r w:rsidRPr="17F9913F" w:rsidR="74A598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conference, Spalato, 23-27 August 2000), ed. by B. Van Den Bossche et al. Firenze: Franco Cesati Editore, 2002, vol.II, pp. 393-401.</w:t>
      </w:r>
    </w:p>
    <w:p xmlns:wp14="http://schemas.microsoft.com/office/word/2010/wordml" wp14:paraId="2C078E63" wp14:textId="3BB8A91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6111D8"/>
    <w:rsid w:val="17F9913F"/>
    <w:rsid w:val="376111D8"/>
    <w:rsid w:val="74A5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8F65"/>
  <w15:chartTrackingRefBased/>
  <w15:docId w15:val="{F02165E5-1A78-4B9A-824B-7AE578BF12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2024-10-15T14:39:59.1835689Z</dcterms:created>
  <dcterms:modified xsi:type="dcterms:W3CDTF">2024-10-15T14:40:35.1714450Z</dcterms:modified>
  <dc:creator>Suman Thapa</dc:creator>
  <lastModifiedBy>Suman Thapa</lastModifiedBy>
</coreProperties>
</file>