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52B8BB4" wp14:paraId="24C3B04F" wp14:textId="7A8AEB2F">
      <w:pPr>
        <w:pStyle w:val="Heading3"/>
        <w:shd w:val="clear" w:color="auto" w:fill="FFFFFF" w:themeFill="background1"/>
        <w:spacing w:before="397" w:beforeAutospacing="off" w:after="155" w:afterAutospacing="off"/>
      </w:pPr>
      <w:r w:rsidRPr="652B8BB4" w:rsidR="36082A04">
        <w:rPr>
          <w:rFonts w:ascii="Roboto" w:hAnsi="Roboto" w:eastAsia="Roboto" w:cs="Roboto"/>
          <w:b w:val="0"/>
          <w:bCs w:val="0"/>
          <w:i w:val="0"/>
          <w:iCs w:val="0"/>
          <w:caps w:val="1"/>
          <w:noProof w:val="0"/>
          <w:color w:val="66AC47"/>
          <w:sz w:val="25"/>
          <w:szCs w:val="25"/>
          <w:lang w:val="en-US"/>
        </w:rPr>
        <w:t>Research and/or Creative Works</w:t>
      </w:r>
    </w:p>
    <w:p xmlns:wp14="http://schemas.microsoft.com/office/word/2010/wordml" w:rsidP="652B8BB4" wp14:paraId="2A710791" wp14:textId="179A65DE">
      <w:pPr>
        <w:shd w:val="clear" w:color="auto" w:fill="FFFFFF" w:themeFill="background1"/>
        <w:spacing w:before="0" w:beforeAutospacing="off" w:after="340" w:afterAutospacing="off"/>
      </w:pPr>
      <w:r w:rsidRPr="652B8BB4" w:rsidR="36082A04">
        <w:rPr>
          <w:rFonts w:ascii="Roboto" w:hAnsi="Roboto" w:eastAsia="Roboto" w:cs="Roboto"/>
          <w:b w:val="0"/>
          <w:bCs w:val="0"/>
          <w:i w:val="0"/>
          <w:iCs w:val="0"/>
          <w:caps w:val="0"/>
          <w:smallCaps w:val="0"/>
          <w:noProof w:val="0"/>
          <w:color w:val="444444"/>
          <w:sz w:val="25"/>
          <w:szCs w:val="25"/>
          <w:lang w:val="en-US"/>
        </w:rPr>
        <w:t xml:space="preserve">Prof. Schreckenberger's research activities focus on 20th century Austrian literature, particularly on post-1945 authors. She has co-authored a monograph on Gerhard Roth, and has published on Ruth Beckermann, Lilian Faschinger, Wolf Haas, Peter Henisch, Felix Mitterer, Julya Rabinowich, Elisabeth Reichart, Arthur Schnitzler, Marlene Streeruwitz, and Vladimir Vertlib. Her second area of research is exile and migration studies. Her publications in this area include articles on Lisa Fittko, Lili Grün, Joseph Hahn, Irmgard Keun, Emil Ludwig, Erika Mann, Hertha Pauli, Erich Maria Remarque, Egon Schwarz, and Arnold Zweig as well as the editions, </w:t>
      </w:r>
      <w:r w:rsidRPr="652B8BB4" w:rsidR="36082A04">
        <w:rPr>
          <w:rFonts w:ascii="Roboto" w:hAnsi="Roboto" w:eastAsia="Roboto" w:cs="Roboto"/>
          <w:b w:val="0"/>
          <w:bCs w:val="0"/>
          <w:i w:val="1"/>
          <w:iCs w:val="1"/>
          <w:caps w:val="0"/>
          <w:smallCaps w:val="0"/>
          <w:noProof w:val="0"/>
          <w:color w:val="444444"/>
          <w:sz w:val="25"/>
          <w:szCs w:val="25"/>
          <w:lang w:val="en-US"/>
        </w:rPr>
        <w:t>Aesthetiken des Exils</w:t>
      </w:r>
      <w:r w:rsidRPr="652B8BB4" w:rsidR="36082A04">
        <w:rPr>
          <w:rFonts w:ascii="Roboto" w:hAnsi="Roboto" w:eastAsia="Roboto" w:cs="Roboto"/>
          <w:b w:val="0"/>
          <w:bCs w:val="0"/>
          <w:i w:val="0"/>
          <w:iCs w:val="0"/>
          <w:caps w:val="0"/>
          <w:smallCaps w:val="0"/>
          <w:noProof w:val="0"/>
          <w:color w:val="444444"/>
          <w:sz w:val="25"/>
          <w:szCs w:val="25"/>
          <w:lang w:val="en-US"/>
        </w:rPr>
        <w:t xml:space="preserve"> (2003); </w:t>
      </w:r>
      <w:r w:rsidRPr="652B8BB4" w:rsidR="36082A04">
        <w:rPr>
          <w:rFonts w:ascii="Roboto" w:hAnsi="Roboto" w:eastAsia="Roboto" w:cs="Roboto"/>
          <w:b w:val="0"/>
          <w:bCs w:val="0"/>
          <w:i w:val="1"/>
          <w:iCs w:val="1"/>
          <w:caps w:val="0"/>
          <w:smallCaps w:val="0"/>
          <w:noProof w:val="0"/>
          <w:color w:val="444444"/>
          <w:sz w:val="25"/>
          <w:szCs w:val="25"/>
          <w:lang w:val="en-US"/>
        </w:rPr>
        <w:t xml:space="preserve">Die Alchemie des Exils </w:t>
      </w:r>
      <w:r w:rsidRPr="652B8BB4" w:rsidR="36082A04">
        <w:rPr>
          <w:rFonts w:ascii="Roboto" w:hAnsi="Roboto" w:eastAsia="Roboto" w:cs="Roboto"/>
          <w:b w:val="0"/>
          <w:bCs w:val="0"/>
          <w:i w:val="0"/>
          <w:iCs w:val="0"/>
          <w:caps w:val="0"/>
          <w:smallCaps w:val="0"/>
          <w:noProof w:val="0"/>
          <w:color w:val="444444"/>
          <w:sz w:val="25"/>
          <w:szCs w:val="25"/>
          <w:lang w:val="en-US"/>
        </w:rPr>
        <w:t xml:space="preserve">(2005) and </w:t>
      </w:r>
      <w:r w:rsidRPr="652B8BB4" w:rsidR="36082A04">
        <w:rPr>
          <w:rFonts w:ascii="Roboto" w:hAnsi="Roboto" w:eastAsia="Roboto" w:cs="Roboto"/>
          <w:b w:val="0"/>
          <w:bCs w:val="0"/>
          <w:i w:val="1"/>
          <w:iCs w:val="1"/>
          <w:caps w:val="0"/>
          <w:smallCaps w:val="0"/>
          <w:noProof w:val="0"/>
          <w:color w:val="444444"/>
          <w:sz w:val="25"/>
          <w:szCs w:val="25"/>
          <w:lang w:val="en-US"/>
        </w:rPr>
        <w:t>Networks of Refugees from Nazi-Germany</w:t>
      </w:r>
      <w:r w:rsidRPr="652B8BB4" w:rsidR="36082A04">
        <w:rPr>
          <w:rFonts w:ascii="Roboto" w:hAnsi="Roboto" w:eastAsia="Roboto" w:cs="Roboto"/>
          <w:b w:val="0"/>
          <w:bCs w:val="0"/>
          <w:i w:val="0"/>
          <w:iCs w:val="0"/>
          <w:caps w:val="0"/>
          <w:smallCaps w:val="0"/>
          <w:noProof w:val="0"/>
          <w:color w:val="444444"/>
          <w:sz w:val="25"/>
          <w:szCs w:val="25"/>
          <w:lang w:val="en-US"/>
        </w:rPr>
        <w:t xml:space="preserve"> (2016). She also co-edited the volumes </w:t>
      </w:r>
      <w:r w:rsidRPr="652B8BB4" w:rsidR="36082A04">
        <w:rPr>
          <w:rFonts w:ascii="Roboto" w:hAnsi="Roboto" w:eastAsia="Roboto" w:cs="Roboto"/>
          <w:b w:val="0"/>
          <w:bCs w:val="0"/>
          <w:i w:val="1"/>
          <w:iCs w:val="1"/>
          <w:caps w:val="0"/>
          <w:smallCaps w:val="0"/>
          <w:noProof w:val="0"/>
          <w:color w:val="444444"/>
          <w:sz w:val="25"/>
          <w:szCs w:val="25"/>
          <w:lang w:val="en-US"/>
        </w:rPr>
        <w:t>Erste Briefe/First Letters aus dem Exil 1945-1950 (2011)</w:t>
      </w:r>
      <w:r w:rsidRPr="652B8BB4" w:rsidR="36082A04">
        <w:rPr>
          <w:rFonts w:ascii="Roboto" w:hAnsi="Roboto" w:eastAsia="Roboto" w:cs="Roboto"/>
          <w:b w:val="0"/>
          <w:bCs w:val="0"/>
          <w:i w:val="0"/>
          <w:iCs w:val="0"/>
          <w:caps w:val="0"/>
          <w:smallCaps w:val="0"/>
          <w:noProof w:val="0"/>
          <w:color w:val="444444"/>
          <w:sz w:val="25"/>
          <w:szCs w:val="25"/>
          <w:lang w:val="en-US"/>
        </w:rPr>
        <w:t>, and Exile and Shoah (2016 Her current book research projects focus on the depiction of migrant experiences by Austrian and German writers.</w:t>
      </w:r>
    </w:p>
    <w:p xmlns:wp14="http://schemas.microsoft.com/office/word/2010/wordml" w:rsidP="652B8BB4" wp14:paraId="438CC013" wp14:textId="60FF7739">
      <w:pPr>
        <w:shd w:val="clear" w:color="auto" w:fill="FFFFFF" w:themeFill="background1"/>
        <w:spacing w:before="0" w:beforeAutospacing="off" w:after="340" w:afterAutospacing="off"/>
      </w:pPr>
      <w:r w:rsidRPr="652B8BB4" w:rsidR="36082A04">
        <w:rPr>
          <w:rFonts w:ascii="Roboto" w:hAnsi="Roboto" w:eastAsia="Roboto" w:cs="Roboto"/>
          <w:b w:val="0"/>
          <w:bCs w:val="0"/>
          <w:i w:val="0"/>
          <w:iCs w:val="0"/>
          <w:caps w:val="0"/>
          <w:smallCaps w:val="0"/>
          <w:noProof w:val="0"/>
          <w:color w:val="444444"/>
          <w:sz w:val="25"/>
          <w:szCs w:val="25"/>
          <w:lang w:val="en-US"/>
        </w:rPr>
        <w:t>Recent articles include “‘Ich lebe jetzt zwei ganz getrennte Lebenʼ: Negotiating Cultural Identity in Alya Rakhmanova’s Milchfrau in Ottakring,”</w:t>
      </w:r>
      <w:r w:rsidRPr="652B8BB4" w:rsidR="36082A04">
        <w:rPr>
          <w:rFonts w:ascii="Roboto" w:hAnsi="Roboto" w:eastAsia="Roboto" w:cs="Roboto"/>
          <w:b w:val="0"/>
          <w:bCs w:val="0"/>
          <w:i w:val="1"/>
          <w:iCs w:val="1"/>
          <w:caps w:val="0"/>
          <w:smallCaps w:val="0"/>
          <w:noProof w:val="0"/>
          <w:color w:val="444444"/>
          <w:sz w:val="25"/>
          <w:szCs w:val="25"/>
          <w:lang w:val="en-US"/>
        </w:rPr>
        <w:t xml:space="preserve">Journal of Austrian Studies </w:t>
      </w:r>
      <w:r w:rsidRPr="652B8BB4" w:rsidR="36082A04">
        <w:rPr>
          <w:rFonts w:ascii="Roboto" w:hAnsi="Roboto" w:eastAsia="Roboto" w:cs="Roboto"/>
          <w:b w:val="0"/>
          <w:bCs w:val="0"/>
          <w:i w:val="0"/>
          <w:iCs w:val="0"/>
          <w:caps w:val="0"/>
          <w:smallCaps w:val="0"/>
          <w:noProof w:val="0"/>
          <w:color w:val="444444"/>
          <w:sz w:val="25"/>
          <w:szCs w:val="25"/>
          <w:lang w:val="en-US"/>
        </w:rPr>
        <w:t xml:space="preserve">(2021) and  “‘Dort, wo die Logik versagtʼ--The Role of Coincidence in Dimitré Dinev’s </w:t>
      </w:r>
      <w:r w:rsidRPr="652B8BB4" w:rsidR="36082A04">
        <w:rPr>
          <w:rFonts w:ascii="Roboto" w:hAnsi="Roboto" w:eastAsia="Roboto" w:cs="Roboto"/>
          <w:b w:val="0"/>
          <w:bCs w:val="0"/>
          <w:i w:val="1"/>
          <w:iCs w:val="1"/>
          <w:caps w:val="0"/>
          <w:smallCaps w:val="0"/>
          <w:noProof w:val="0"/>
          <w:color w:val="444444"/>
          <w:sz w:val="25"/>
          <w:szCs w:val="25"/>
          <w:lang w:val="en-US"/>
        </w:rPr>
        <w:t>Engelszungen</w:t>
      </w:r>
      <w:r w:rsidRPr="652B8BB4" w:rsidR="36082A04">
        <w:rPr>
          <w:rFonts w:ascii="Roboto" w:hAnsi="Roboto" w:eastAsia="Roboto" w:cs="Roboto"/>
          <w:b w:val="0"/>
          <w:bCs w:val="0"/>
          <w:i w:val="0"/>
          <w:iCs w:val="0"/>
          <w:caps w:val="0"/>
          <w:smallCaps w:val="0"/>
          <w:noProof w:val="0"/>
          <w:color w:val="444444"/>
          <w:sz w:val="25"/>
          <w:szCs w:val="25"/>
          <w:lang w:val="en-US"/>
        </w:rPr>
        <w:t xml:space="preserve"> (2003),” </w:t>
      </w:r>
      <w:r w:rsidRPr="652B8BB4" w:rsidR="36082A04">
        <w:rPr>
          <w:rFonts w:ascii="Roboto" w:hAnsi="Roboto" w:eastAsia="Roboto" w:cs="Roboto"/>
          <w:b w:val="0"/>
          <w:bCs w:val="0"/>
          <w:i w:val="1"/>
          <w:iCs w:val="1"/>
          <w:caps w:val="0"/>
          <w:smallCaps w:val="0"/>
          <w:noProof w:val="0"/>
          <w:color w:val="444444"/>
          <w:sz w:val="25"/>
          <w:szCs w:val="25"/>
          <w:lang w:val="en-US"/>
        </w:rPr>
        <w:t xml:space="preserve">Monatshefte </w:t>
      </w:r>
      <w:r w:rsidRPr="652B8BB4" w:rsidR="36082A04">
        <w:rPr>
          <w:rFonts w:ascii="Roboto" w:hAnsi="Roboto" w:eastAsia="Roboto" w:cs="Roboto"/>
          <w:b w:val="0"/>
          <w:bCs w:val="0"/>
          <w:i w:val="0"/>
          <w:iCs w:val="0"/>
          <w:caps w:val="0"/>
          <w:smallCaps w:val="0"/>
          <w:noProof w:val="0"/>
          <w:color w:val="444444"/>
          <w:sz w:val="25"/>
          <w:szCs w:val="25"/>
          <w:lang w:val="en-US"/>
        </w:rPr>
        <w:t>(2022).</w:t>
      </w:r>
    </w:p>
    <w:p xmlns:wp14="http://schemas.microsoft.com/office/word/2010/wordml" w:rsidP="652B8BB4" wp14:paraId="58940130" wp14:textId="46896918">
      <w:pPr>
        <w:shd w:val="clear" w:color="auto" w:fill="FFFFFF" w:themeFill="background1"/>
        <w:spacing w:before="0" w:beforeAutospacing="off" w:after="0" w:afterAutospacing="off"/>
      </w:pPr>
    </w:p>
    <w:p xmlns:wp14="http://schemas.microsoft.com/office/word/2010/wordml" wp14:paraId="2C078E63" wp14:textId="60F99AC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E724C"/>
    <w:rsid w:val="36082A04"/>
    <w:rsid w:val="652B8BB4"/>
    <w:rsid w:val="6F5E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724C"/>
  <w15:chartTrackingRefBased/>
  <w15:docId w15:val="{5ED1FE3B-A42D-49DB-ADD1-3E4D9E901A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2024-10-07T13:38:33.2791553Z</dcterms:created>
  <dcterms:modified xsi:type="dcterms:W3CDTF">2024-10-07T13:39:10.8187496Z</dcterms:modified>
  <dc:creator>Suman Thapa</dc:creator>
  <lastModifiedBy>Suman Thapa</lastModifiedBy>
</coreProperties>
</file>