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D604" w14:textId="41E9D5AC" w:rsidR="213AE202" w:rsidRDefault="00651358" w:rsidP="2A1EAFD4">
      <w:pPr>
        <w:pStyle w:val="Heading1"/>
        <w:spacing w:line="259" w:lineRule="auto"/>
      </w:pPr>
      <w:r>
        <w:rPr>
          <w:sz w:val="36"/>
          <w:szCs w:val="36"/>
        </w:rPr>
        <w:t>James Zahardis</w:t>
      </w:r>
    </w:p>
    <w:p w14:paraId="164D1C35" w14:textId="5FB48F6D" w:rsidR="00AE3BFE" w:rsidRDefault="1E83D99A" w:rsidP="00AE3BFE">
      <w:pPr>
        <w:pStyle w:val="Heading2"/>
        <w:spacing w:before="0" w:after="103" w:line="360" w:lineRule="atLeast"/>
        <w:rPr>
          <w:rFonts w:ascii="Roboto" w:hAnsi="Roboto"/>
          <w:b w:val="0"/>
          <w:bCs/>
          <w:caps/>
          <w:color w:val="66AC47"/>
          <w:spacing w:val="10"/>
          <w:sz w:val="29"/>
          <w:szCs w:val="29"/>
        </w:rPr>
      </w:pPr>
      <w:r>
        <w:br/>
      </w:r>
      <w:r w:rsidR="7AF2F8D6" w:rsidRPr="00AE3BFE">
        <w:rPr>
          <w:b w:val="0"/>
          <w:color w:val="92D05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b w:val="0"/>
          <w:color w:val="444444"/>
          <w:sz w:val="25"/>
          <w:szCs w:val="25"/>
        </w:rPr>
        <w:t xml:space="preserve"> </w:t>
      </w:r>
    </w:p>
    <w:p w14:paraId="65F62155" w14:textId="77777777" w:rsidR="00651358" w:rsidRPr="00651358" w:rsidRDefault="00AE3BFE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>
        <w:rPr>
          <w:rFonts w:ascii="Roboto" w:hAnsi="Roboto"/>
          <w:color w:val="444444"/>
          <w:sz w:val="26"/>
          <w:szCs w:val="26"/>
        </w:rPr>
        <w:t>"</w:t>
      </w:r>
      <w:r w:rsidR="00651358"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Harvey, R. M., J. </w:t>
      </w:r>
      <w:proofErr w:type="spellStart"/>
      <w:r w:rsidR="00651358"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="00651358"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G. A. Petrucci (2014). “Establishing the contribution of lawn mowing to atmospheric aerosol levels in American suburbs.” </w:t>
      </w:r>
      <w:r w:rsidR="00651358"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Atmos. Chem. Phys.</w:t>
      </w:r>
      <w:r w:rsidR="00651358"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14(2): 797-812.</w:t>
      </w:r>
    </w:p>
    <w:p w14:paraId="2E6999CA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Jain, S.,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G. A. Petrucci (2014). “Soft ionization chemical analysis of secondary organic aerosol from green leaf volatiles emitted by turf grass.”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Environ. Sci. Tech.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48(9): 4835-4843.</w:t>
      </w:r>
    </w:p>
    <w:p w14:paraId="243DA10B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J., S. Geddes and G. A. Petrucci (2011). "Improved understanding of atmospheric organic aerosols via innovations in soft ionization aerosol mass spectrometry."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Anal. Chem.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83(7): 2409–2415.</w:t>
      </w:r>
    </w:p>
    <w:p w14:paraId="6B57E17C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Geddes, S., B. Nichols, S.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Flemer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Jr., J. Eisenhauer,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G. A. Petrucci (2010). "Near-infrared laser desorption/ionization aerosol mass spectrometry for investigating organic aerosols under low loading conditions."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Anal. Chem.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82(19): 7915-7923.</w:t>
      </w:r>
    </w:p>
    <w:p w14:paraId="25723E9F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Geddes, S., B. Nichols, K. Todd,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G. A. Petrucci (2010). "Near-infrared laser desorption/ionization aerosol mass spectrometry for measuring organic aerosol at atmospherically relevant aerosol mass loadings."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Atmos. Meas. Tech.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3(4): 1175-1183.</w:t>
      </w:r>
    </w:p>
    <w:p w14:paraId="2AD914E2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Geddes, S.,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J. Eisenhauer and G. A. Petrucci (2009). "Low energy photoelectron resonance capture ionization aerosol mass spectrometry of small peptides with cysteine residues: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Cys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-Gly, γ-Glu-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Cys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and glutathione (γ-Glu-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Cys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-Gly)."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 xml:space="preserve">Int. J. Mass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Spectrom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282(1-2): 13-20.</w:t>
      </w:r>
    </w:p>
    <w:p w14:paraId="6502E1A4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Geddes, S.,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G. A. Petrucci (2009). "Chemical transformations of peptide containing fine particles: oxidative processing, accretion reactions and implications to the atmospheric fate of cell-derived materials in organic aerosol."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J. Atmos. Chem.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63(3): 187-202.</w:t>
      </w:r>
    </w:p>
    <w:p w14:paraId="3A972B9E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Hatch, C. D., K. M.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Gierlus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Shuttlefield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V. H.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Grassian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(2009). "Water uptake of humic and fulvic acid: measurements and 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lastRenderedPageBreak/>
        <w:t>modelling using single parameter Köhler theory."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Environ. Chem.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6: 380-388.</w:t>
      </w:r>
    </w:p>
    <w:p w14:paraId="54711A79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Roca, M.,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 Bone, M. El-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Maazawi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V. H.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Grassian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(2009). "310 nm irradiation of atmospherically relevant concentrated aqueous nitrate solutions: Nitrite production and quantum yields."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J. Phys. Chem. A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112(51): 13275-13281.</w:t>
      </w:r>
    </w:p>
    <w:p w14:paraId="12117824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Stevens, J. P.,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M. MacPherson, B. T. Mossman and G. A. Petrucci (2008). "A new method for quantifiable and controlled dosage of particulate matter for in vitro studies: The electrostatic particulate dosage and exposure system (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EPDExS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)." 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Toxicol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. in Vitro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22(7): 1768-1774.</w:t>
      </w:r>
    </w:p>
    <w:p w14:paraId="433AAAEF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J., S. Geddes and G. A. Petrucci (2008). "Detection of free amino acids in proxies of marine aerosol by photoelectron resonance capture ionization aerosol mass spectrometry."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Int. J. Environ. Anal. Chem.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88(3): 177-184.</w:t>
      </w:r>
    </w:p>
    <w:p w14:paraId="3CBC72F5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J., S. Geddes and G. A. Petrucci (2008). "The ozonolysis of primary aliphatic amines in fine particles."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Atmos. Chem. Phys.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8: 1181-1194.</w:t>
      </w:r>
    </w:p>
    <w:p w14:paraId="2492FC91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 and G. A. Petrucci (2007). "The oleic acid-ozone heterogeneous reaction system: products, kinetics, secondary chemistry, and atmospheric implications of a model system - a review 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Atmos. Chem. Phys.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7(5): 1237-1274.</w:t>
      </w:r>
    </w:p>
    <w:p w14:paraId="35F01F2B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J., B. W. LaFranchi and G. A. Petrucci (2006). "Direct observation of polymerization in the oleic acid - ozone heterogeneous reaction system by photoelectron resonance capture ionization aerosol mass spectrometry."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Atmos. Environ.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40(9): 1661-1670.</w:t>
      </w:r>
    </w:p>
    <w:p w14:paraId="57E87BF4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J., B. W. LaFranchi and G. A. Petrucci (2006). "The heterogeneous reaction of particle-phase methyl esters and ozone elucidated by photoelectron resonance capture ionization: Direct products of ozonolysis and secondary reactions leading to the formation of ketones."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 xml:space="preserve">Int. J. Mass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Spectrom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253(1-2): 38-47.</w:t>
      </w:r>
    </w:p>
    <w:p w14:paraId="0CE8167C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lastRenderedPageBreak/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J., B. W. LaFranchi and G. A. Petrucci (2006). "Photoelectron resonance capture ionization mass spectrometry of fatty acids in olive oil."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Eur. J. Lipid Sci. Technol.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108(11): 925-935.</w:t>
      </w:r>
    </w:p>
    <w:p w14:paraId="3EB35A87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J., B. W. LaFranchi and G. A. Petrucci (2005). "Photoelectron resonance capture ionization-aerosol mass spectrometry of the ozonolysis products of oleic acid particles: Direct measure of higher molecular weight oxygenates."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 xml:space="preserve">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Geophys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. Res.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110: D08307.</w:t>
      </w:r>
    </w:p>
    <w:p w14:paraId="01A4D1D3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 Hager, J. S.,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R. M.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Pagni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R. N. Compton and J. Li (2004). "Raman under nitrogen. The high-resolution Raman spectroscopy of crystalline uranocene,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thorocene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and ferrocene."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J. Chem. Phys.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120(6): 2708-2718.</w:t>
      </w:r>
    </w:p>
    <w:p w14:paraId="2B124AE5" w14:textId="77777777" w:rsidR="00651358" w:rsidRPr="00651358" w:rsidRDefault="00651358" w:rsidP="00651358">
      <w:pPr>
        <w:numPr>
          <w:ilvl w:val="0"/>
          <w:numId w:val="23"/>
        </w:numPr>
        <w:spacing w:after="160" w:line="384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LaFranchi, B. W., J.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Zahardis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G. A. Petrucci (2004). "Photoelectron resonance capture ionization mass spectrometry: a soft ionization source for mass spectrometry of particle-phase organic compounds." 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 xml:space="preserve">Rapid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Commun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 xml:space="preserve">. Mass </w:t>
      </w:r>
      <w:proofErr w:type="spellStart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Spectrom</w:t>
      </w:r>
      <w:proofErr w:type="spellEnd"/>
      <w:r w:rsidRPr="00651358">
        <w:rPr>
          <w:rFonts w:ascii="Roboto" w:eastAsia="Times New Roman" w:hAnsi="Roboto" w:cs="Times New Roman"/>
          <w:color w:val="444444"/>
          <w:sz w:val="26"/>
          <w:szCs w:val="26"/>
          <w:u w:val="single"/>
          <w:lang w:eastAsia="en-US"/>
        </w:rPr>
        <w:t>.</w:t>
      </w:r>
      <w:r w:rsidRPr="00651358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 18(21): 2517-2521.</w:t>
      </w:r>
    </w:p>
    <w:p w14:paraId="262287EC" w14:textId="0A9B73D2" w:rsidR="086577AC" w:rsidRDefault="086577AC" w:rsidP="2A1EAFD4">
      <w:pPr>
        <w:shd w:val="clear" w:color="auto" w:fill="FFFFFF" w:themeFill="background1"/>
        <w:spacing w:after="340"/>
        <w:rPr>
          <w:rFonts w:ascii="Roboto" w:eastAsia="Roboto" w:hAnsi="Roboto" w:cs="Roboto"/>
          <w:i/>
          <w:iCs/>
          <w:color w:val="444444"/>
          <w:sz w:val="25"/>
          <w:szCs w:val="25"/>
        </w:rPr>
      </w:pPr>
    </w:p>
    <w:sectPr w:rsidR="086577AC" w:rsidSect="004D69D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58A8" w14:textId="77777777" w:rsidR="002652B6" w:rsidRDefault="002652B6">
      <w:pPr>
        <w:spacing w:after="0"/>
      </w:pPr>
      <w:r>
        <w:separator/>
      </w:r>
    </w:p>
  </w:endnote>
  <w:endnote w:type="continuationSeparator" w:id="0">
    <w:p w14:paraId="478B608B" w14:textId="77777777" w:rsidR="002652B6" w:rsidRDefault="002652B6">
      <w:pPr>
        <w:spacing w:after="0"/>
      </w:pPr>
      <w:r>
        <w:continuationSeparator/>
      </w:r>
    </w:p>
  </w:endnote>
  <w:endnote w:type="continuationNotice" w:id="1">
    <w:p w14:paraId="2656237D" w14:textId="77777777" w:rsidR="002652B6" w:rsidRDefault="002652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9685" w14:textId="77777777" w:rsidR="002652B6" w:rsidRDefault="002652B6">
      <w:pPr>
        <w:spacing w:after="0"/>
      </w:pPr>
      <w:r>
        <w:separator/>
      </w:r>
    </w:p>
  </w:footnote>
  <w:footnote w:type="continuationSeparator" w:id="0">
    <w:p w14:paraId="1C13D599" w14:textId="77777777" w:rsidR="002652B6" w:rsidRDefault="002652B6">
      <w:pPr>
        <w:spacing w:after="0"/>
      </w:pPr>
      <w:r>
        <w:continuationSeparator/>
      </w:r>
    </w:p>
  </w:footnote>
  <w:footnote w:type="continuationNotice" w:id="1">
    <w:p w14:paraId="5D353A0C" w14:textId="77777777" w:rsidR="002652B6" w:rsidRDefault="002652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E1C2B66"/>
    <w:multiLevelType w:val="hybridMultilevel"/>
    <w:tmpl w:val="D584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46A97445"/>
    <w:multiLevelType w:val="hybridMultilevel"/>
    <w:tmpl w:val="BC1E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B4DB6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22975"/>
    <w:multiLevelType w:val="multilevel"/>
    <w:tmpl w:val="328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3"/>
  </w:num>
  <w:num w:numId="20" w16cid:durableId="623191690">
    <w:abstractNumId w:val="10"/>
  </w:num>
  <w:num w:numId="21" w16cid:durableId="1000767077">
    <w:abstractNumId w:val="12"/>
  </w:num>
  <w:num w:numId="22" w16cid:durableId="1876962445">
    <w:abstractNumId w:val="15"/>
  </w:num>
  <w:num w:numId="23" w16cid:durableId="20225880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331E9"/>
    <w:rsid w:val="00140528"/>
    <w:rsid w:val="001433E3"/>
    <w:rsid w:val="0016014D"/>
    <w:rsid w:val="001608CC"/>
    <w:rsid w:val="0018191F"/>
    <w:rsid w:val="00181FE7"/>
    <w:rsid w:val="00186230"/>
    <w:rsid w:val="001D4B58"/>
    <w:rsid w:val="001E2E40"/>
    <w:rsid w:val="00200572"/>
    <w:rsid w:val="00206784"/>
    <w:rsid w:val="00262033"/>
    <w:rsid w:val="002652B6"/>
    <w:rsid w:val="00271453"/>
    <w:rsid w:val="00276E4F"/>
    <w:rsid w:val="002775B5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5D1A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01D6"/>
    <w:rsid w:val="005E5E55"/>
    <w:rsid w:val="005F04C0"/>
    <w:rsid w:val="00605599"/>
    <w:rsid w:val="00616068"/>
    <w:rsid w:val="00627B1A"/>
    <w:rsid w:val="00651358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178E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774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E3BFE"/>
    <w:rsid w:val="00AF3073"/>
    <w:rsid w:val="00B063E6"/>
    <w:rsid w:val="00B121FD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E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421">
          <w:marLeft w:val="0"/>
          <w:marRight w:val="-180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789">
              <w:marLeft w:val="0"/>
              <w:marRight w:val="-10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2024-06-18T18:14:00Z</dcterms:created>
  <dcterms:modified xsi:type="dcterms:W3CDTF">2024-06-18T18:14:00Z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