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BCA3E" w14:textId="77777777" w:rsidR="00FA686D" w:rsidRPr="00FA686D" w:rsidRDefault="00FA686D" w:rsidP="00FA686D">
      <w:pPr>
        <w:shd w:val="clear" w:color="auto" w:fill="FFFFFF"/>
        <w:spacing w:before="60" w:after="192" w:line="384" w:lineRule="atLeast"/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</w:pPr>
      <w:proofErr w:type="spellStart"/>
      <w:r w:rsidRPr="00FA686D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>Yangguang</w:t>
      </w:r>
      <w:proofErr w:type="spellEnd"/>
      <w:r w:rsidRPr="00FA686D">
        <w:rPr>
          <w:rFonts w:ascii="Arial Black" w:eastAsiaTheme="majorEastAsia" w:hAnsi="Arial Black" w:cs="Segoe UI"/>
          <w:b/>
          <w:bCs/>
          <w:color w:val="000000"/>
          <w:kern w:val="0"/>
          <w:sz w:val="36"/>
          <w:szCs w:val="36"/>
          <w14:ligatures w14:val="none"/>
        </w:rPr>
        <w:t xml:space="preserve"> Ou</w:t>
      </w:r>
    </w:p>
    <w:p w14:paraId="07D987DC" w14:textId="77777777" w:rsidR="00A75A0C" w:rsidRDefault="00A75A0C" w:rsidP="00A75A0C">
      <w:pPr>
        <w:shd w:val="clear" w:color="auto" w:fill="FFFFFF"/>
        <w:spacing w:before="60" w:after="192" w:line="384" w:lineRule="atLeast"/>
        <w:ind w:left="720"/>
        <w:rPr>
          <w:rFonts w:ascii="Arial" w:hAnsi="Arial" w:cs="Arial"/>
          <w:color w:val="000000"/>
          <w:sz w:val="20"/>
          <w:szCs w:val="20"/>
        </w:rPr>
      </w:pPr>
      <w:r>
        <w:rPr>
          <w:rStyle w:val="scxw203905267"/>
          <w:rFonts w:ascii="Arial" w:hAnsi="Arial" w:cs="Arial"/>
          <w:color w:val="000000"/>
          <w:sz w:val="20"/>
          <w:szCs w:val="20"/>
        </w:rPr>
        <w:t> </w:t>
      </w:r>
    </w:p>
    <w:p w14:paraId="571DE461" w14:textId="45FF54D3" w:rsidR="00A75A0C" w:rsidRPr="00A75A0C" w:rsidRDefault="00A75A0C" w:rsidP="00A75A0C">
      <w:pPr>
        <w:shd w:val="clear" w:color="auto" w:fill="FFFFFF"/>
        <w:spacing w:before="60" w:after="192" w:line="384" w:lineRule="atLeast"/>
        <w:rPr>
          <w:rFonts w:ascii="Roboto" w:hAnsi="Roboto" w:cs="Segoe UI"/>
          <w:color w:val="444444"/>
          <w:sz w:val="25"/>
          <w:szCs w:val="25"/>
        </w:rPr>
      </w:pPr>
      <w:r>
        <w:rPr>
          <w:rStyle w:val="normaltextrun"/>
          <w:rFonts w:ascii="Arial" w:hAnsi="Arial" w:cs="Arial"/>
          <w:color w:val="66AC47"/>
          <w:sz w:val="28"/>
          <w:szCs w:val="28"/>
        </w:rPr>
        <w:t>PUBLICATIONS</w:t>
      </w:r>
      <w:r>
        <w:rPr>
          <w:rStyle w:val="normaltextrun"/>
          <w:rFonts w:ascii="Roboto" w:hAnsi="Roboto" w:cs="Segoe UI"/>
          <w:color w:val="444444"/>
          <w:sz w:val="25"/>
          <w:szCs w:val="25"/>
        </w:rPr>
        <w:t xml:space="preserve"> </w:t>
      </w:r>
    </w:p>
    <w:p w14:paraId="36B1C9E6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Faraji, A., Jaquins-Gerstl, A., Valenta, A., Ou, Y., Weber, S. G., </w:t>
      </w:r>
      <w:hyperlink r:id="rId9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Electrokinetic Convection-Enhanced Delivery of Solutes to the Brain. </w:t>
        </w:r>
        <w:r w:rsidRPr="008B7144">
          <w:rPr>
            <w:rFonts w:ascii="Roboto" w:eastAsia="Times New Roman" w:hAnsi="Roboto" w:cs="Times New Roman"/>
            <w:i/>
            <w:iCs/>
            <w:color w:val="444444"/>
            <w:kern w:val="0"/>
            <w:sz w:val="26"/>
            <w:szCs w:val="26"/>
            <w14:ligatures w14:val="none"/>
          </w:rPr>
          <w:t>ACS Chemical Neuroscience</w:t>
        </w:r>
      </w:hyperlink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2020. 11 (14) 2085-2093.</w:t>
      </w:r>
    </w:p>
    <w:p w14:paraId="5D9B4156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after="320" w:line="400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Witt, C.E., Mena, S., Honan, L., Batey, L., Salem, V., Ou, Y., Hashemi, P</w:t>
      </w:r>
      <w:hyperlink r:id="rId10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., Low-Frequency Oscillations of In Vivo Ambient Extracellular Brain Serotonin.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Cells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2022. 11(10) 1719.</w:t>
      </w:r>
    </w:p>
    <w:p w14:paraId="282676B5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after="320" w:line="400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Hersey, M., </w:t>
      </w: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Reneaux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M., Berger, S.N., Mena, S., Buchanan, A.M., Ou, Y., Tavakoli, N., Reagan, L.P., </w:t>
      </w: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Clopath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C., Hashemi, P. </w:t>
      </w:r>
      <w:hyperlink r:id="rId11" w:history="1">
        <w:r w:rsidRPr="008B7144">
          <w:rPr>
            <w:rFonts w:ascii="Roboto" w:eastAsia="Times New Roman" w:hAnsi="Roboto" w:cs="Times New Roman"/>
            <w:i/>
            <w:iCs/>
            <w:color w:val="444444"/>
            <w:kern w:val="0"/>
            <w:sz w:val="26"/>
            <w:szCs w:val="26"/>
            <w14:ligatures w14:val="none"/>
          </w:rPr>
          <w:t>A Tale of Two Transmitters: Serotonin and Histamine as In Vivo Biomarkers of Chronic Stress in Mice.</w:t>
        </w:r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 </w:t>
        </w:r>
      </w:hyperlink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Neuroinflammation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2022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 19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1-20. </w:t>
      </w:r>
    </w:p>
    <w:p w14:paraId="66A4B7E5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after="320" w:line="400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Hersey, M., </w:t>
      </w: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Reneaux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M., Berger, S.N., Mena, S., Buchanan, A.M., Ou, Y., Tavakoli, N., Reagan, L.P., </w:t>
      </w: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Clopath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C., Hashemi, P. </w:t>
      </w:r>
      <w:hyperlink r:id="rId12" w:history="1">
        <w:r w:rsidRPr="008B7144">
          <w:rPr>
            <w:rFonts w:ascii="Roboto" w:eastAsia="Times New Roman" w:hAnsi="Roboto" w:cs="Times New Roman"/>
            <w:i/>
            <w:iCs/>
            <w:color w:val="444444"/>
            <w:kern w:val="0"/>
            <w:sz w:val="26"/>
            <w:szCs w:val="26"/>
            <w14:ligatures w14:val="none"/>
          </w:rPr>
          <w:t>A Tale of Two Transmitters: Serotonin and Histamine as In Vivo Biomarkers of Chronic Stress in Mice.</w:t>
        </w:r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 </w:t>
        </w:r>
      </w:hyperlink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Journal of Neuroinflammation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2022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 19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1-20. </w:t>
      </w:r>
    </w:p>
    <w:p w14:paraId="582FCA98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after="320" w:line="400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Schapira, I., Russo-Savage, L., Narla, T. O’Neill, M., Laprade, K., Stafford, J., Ou, Y. </w:t>
      </w:r>
      <w:hyperlink r:id="rId13" w:history="1">
        <w:r w:rsidRPr="008B7144">
          <w:rPr>
            <w:rFonts w:ascii="Roboto" w:eastAsia="Times New Roman" w:hAnsi="Roboto" w:cs="Times New Roman"/>
            <w:i/>
            <w:iCs/>
            <w:color w:val="444444"/>
            <w:kern w:val="0"/>
            <w:sz w:val="26"/>
            <w:szCs w:val="26"/>
            <w14:ligatures w14:val="none"/>
          </w:rPr>
          <w:t>Measurement of Tryptophan in Cell Cultures Using Fast Scan Cyclic Voltammetry at Carbon Fiber Microelectrodes with Improved Sensitivity and Selectivity. </w:t>
        </w:r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 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proofErr w:type="spellStart"/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ChemRxiv</w:t>
      </w:r>
      <w:proofErr w:type="spellEnd"/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DOI: 10.26434/chemrxiv-2022-tfdn8</w:t>
      </w:r>
    </w:p>
    <w:p w14:paraId="3C7C1378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Ou, Y., Buchanan, A.M., Witt, C.E., Hashemi, P. </w:t>
      </w:r>
      <w:hyperlink r:id="rId14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Frontiers in Electrochemical Sensors for Neurotransmitter Detection: Towards Measuring Neurotransmitters as Chemical Diagnostics for Brain Disorders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Analytical Methods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2019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. 11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2738-2755. Featured on back cover.</w:t>
      </w:r>
    </w:p>
    <w:p w14:paraId="7F03ABCC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lastRenderedPageBreak/>
        <w:t>Siriwardhane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 xml:space="preserve">, T., Ou, Y., </w:t>
      </w:r>
      <w:proofErr w:type="spellStart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Pathirathna</w:t>
      </w:r>
      <w:proofErr w:type="spellEnd"/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, P, Hashemi, P. </w:t>
      </w:r>
      <w:hyperlink r:id="rId15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Analysis of Electrochemically Elusive Trace Metals with Carbon Fiber Microelectrodes.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Analytical Chemistry.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2018. 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90(20)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11917-11924.</w:t>
      </w:r>
    </w:p>
    <w:p w14:paraId="4AE29CB5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Ou, Y., Wilson, R.E., Weber, S.G. </w:t>
      </w:r>
      <w:hyperlink r:id="rId16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Methods of Measuring Enzyme Activity Ex Vivo and In Vivo.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Annual Review of Analytical Chemistry.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2018. 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11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509-533.</w:t>
      </w:r>
    </w:p>
    <w:p w14:paraId="72A29F4C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Ou, Y., Weber, S.G. </w:t>
      </w:r>
      <w:hyperlink r:id="rId17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Higher Aminopeptidase Activity Determined by Electroosmotic Push-Pull Perfusion Contributes to Selective Vulnerability of the Hippocampal CA1 Region to Oxygen-Glucose Deprivation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ACS Chemical Neuroscience.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2018. 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9(3)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535-544.</w:t>
      </w:r>
    </w:p>
    <w:p w14:paraId="63C614C1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Ou, Y., Weber, S.G. </w:t>
      </w:r>
      <w:hyperlink r:id="rId18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Numerical modeling of Electroosmotic Push-Pull Perfusion and Assessment of its Application to Ectoenzyme Measurements in Mammalian Tissue.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Analytical Chemistry.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2017. 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89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5864-5873.</w:t>
      </w:r>
    </w:p>
    <w:p w14:paraId="41170A8D" w14:textId="77777777" w:rsidR="008B7144" w:rsidRPr="008B7144" w:rsidRDefault="008B7144" w:rsidP="008B7144">
      <w:pPr>
        <w:numPr>
          <w:ilvl w:val="0"/>
          <w:numId w:val="5"/>
        </w:numPr>
        <w:shd w:val="clear" w:color="auto" w:fill="FFFFFF"/>
        <w:spacing w:before="60" w:after="192" w:line="384" w:lineRule="atLeast"/>
        <w:ind w:left="1104"/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</w:pP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Ou, Y., Wu, J., Sandberg, M., Weber, S. G. </w:t>
      </w:r>
      <w:hyperlink r:id="rId19" w:history="1">
        <w:r w:rsidRPr="008B7144">
          <w:rPr>
            <w:rFonts w:ascii="Roboto" w:eastAsia="Times New Roman" w:hAnsi="Roboto" w:cs="Times New Roman"/>
            <w:color w:val="444444"/>
            <w:kern w:val="0"/>
            <w:sz w:val="26"/>
            <w:szCs w:val="26"/>
            <w:u w:val="single"/>
            <w14:ligatures w14:val="none"/>
          </w:rPr>
          <w:t>Electroosmotic Perfusion of Tissue: Sampling the Extracellular Space and Quantitative Assessment of Membrane-Bound Enzyme Activity in Organotypic Hippocampal Slice Cultures.</w:t>
        </w:r>
      </w:hyperlink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Analytical and Bioanalytical Chemistry. 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2014. </w:t>
      </w:r>
      <w:r w:rsidRPr="008B7144">
        <w:rPr>
          <w:rFonts w:ascii="Roboto" w:eastAsia="Times New Roman" w:hAnsi="Roboto" w:cs="Times New Roman"/>
          <w:i/>
          <w:iCs/>
          <w:color w:val="444444"/>
          <w:kern w:val="0"/>
          <w:sz w:val="26"/>
          <w:szCs w:val="26"/>
          <w14:ligatures w14:val="none"/>
        </w:rPr>
        <w:t>406</w:t>
      </w:r>
      <w:r w:rsidRPr="008B7144">
        <w:rPr>
          <w:rFonts w:ascii="Roboto" w:eastAsia="Times New Roman" w:hAnsi="Roboto" w:cs="Times New Roman"/>
          <w:color w:val="444444"/>
          <w:kern w:val="0"/>
          <w:sz w:val="26"/>
          <w:szCs w:val="26"/>
          <w14:ligatures w14:val="none"/>
        </w:rPr>
        <w:t>: 6455-6468.</w:t>
      </w:r>
    </w:p>
    <w:p w14:paraId="598B5AFF" w14:textId="77777777" w:rsidR="00A75A0C" w:rsidRPr="00A75A0C" w:rsidRDefault="00A75A0C" w:rsidP="008B7144">
      <w:pPr>
        <w:pStyle w:val="NormalWeb"/>
        <w:shd w:val="clear" w:color="auto" w:fill="FFFFFF"/>
        <w:spacing w:before="0" w:beforeAutospacing="0" w:after="320" w:afterAutospacing="0" w:line="400" w:lineRule="atLeast"/>
        <w:rPr>
          <w:rFonts w:ascii="Arial Black" w:hAnsi="Arial Black"/>
          <w:color w:val="3A7C22" w:themeColor="accent6" w:themeShade="BF"/>
        </w:rPr>
      </w:pPr>
    </w:p>
    <w:sectPr w:rsidR="00A75A0C" w:rsidRPr="00A75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853ED4"/>
    <w:multiLevelType w:val="hybridMultilevel"/>
    <w:tmpl w:val="EB4E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724DF"/>
    <w:multiLevelType w:val="multilevel"/>
    <w:tmpl w:val="6FC20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6E0E56"/>
    <w:multiLevelType w:val="multilevel"/>
    <w:tmpl w:val="7794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55670"/>
    <w:multiLevelType w:val="multilevel"/>
    <w:tmpl w:val="B8DED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32157E"/>
    <w:multiLevelType w:val="multilevel"/>
    <w:tmpl w:val="89FCF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1623361">
    <w:abstractNumId w:val="4"/>
  </w:num>
  <w:num w:numId="2" w16cid:durableId="1449470618">
    <w:abstractNumId w:val="0"/>
  </w:num>
  <w:num w:numId="3" w16cid:durableId="218983095">
    <w:abstractNumId w:val="1"/>
  </w:num>
  <w:num w:numId="4" w16cid:durableId="1686200904">
    <w:abstractNumId w:val="3"/>
  </w:num>
  <w:num w:numId="5" w16cid:durableId="184563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C"/>
    <w:rsid w:val="00007817"/>
    <w:rsid w:val="00084ABC"/>
    <w:rsid w:val="002B202B"/>
    <w:rsid w:val="002D046A"/>
    <w:rsid w:val="00420FD0"/>
    <w:rsid w:val="004700D8"/>
    <w:rsid w:val="00473977"/>
    <w:rsid w:val="004C309F"/>
    <w:rsid w:val="007C352C"/>
    <w:rsid w:val="0086766F"/>
    <w:rsid w:val="008B088E"/>
    <w:rsid w:val="008B7144"/>
    <w:rsid w:val="00952FA9"/>
    <w:rsid w:val="00A16D2E"/>
    <w:rsid w:val="00A63D18"/>
    <w:rsid w:val="00A75A0C"/>
    <w:rsid w:val="00B077F9"/>
    <w:rsid w:val="00BE5B02"/>
    <w:rsid w:val="00F13A61"/>
    <w:rsid w:val="00FA686D"/>
    <w:rsid w:val="00FB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55758"/>
  <w15:chartTrackingRefBased/>
  <w15:docId w15:val="{9906B6F7-AB81-45F3-955E-4B08BDB05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C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"/>
    <w:rsid w:val="00A75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A75A0C"/>
  </w:style>
  <w:style w:type="character" w:customStyle="1" w:styleId="eop">
    <w:name w:val="eop"/>
    <w:basedOn w:val="DefaultParagraphFont"/>
    <w:rsid w:val="00A75A0C"/>
  </w:style>
  <w:style w:type="character" w:customStyle="1" w:styleId="scxw203905267">
    <w:name w:val="scxw203905267"/>
    <w:basedOn w:val="DefaultParagraphFont"/>
    <w:rsid w:val="00A75A0C"/>
  </w:style>
  <w:style w:type="character" w:styleId="Strong">
    <w:name w:val="Strong"/>
    <w:basedOn w:val="DefaultParagraphFont"/>
    <w:uiPriority w:val="22"/>
    <w:qFormat/>
    <w:rsid w:val="00A75A0C"/>
    <w:rPr>
      <w:b/>
      <w:bCs/>
    </w:rPr>
  </w:style>
  <w:style w:type="character" w:styleId="Emphasis">
    <w:name w:val="Emphasis"/>
    <w:basedOn w:val="DefaultParagraphFont"/>
    <w:uiPriority w:val="20"/>
    <w:qFormat/>
    <w:rsid w:val="00A75A0C"/>
    <w:rPr>
      <w:i/>
      <w:iCs/>
    </w:rPr>
  </w:style>
  <w:style w:type="paragraph" w:styleId="NormalWeb">
    <w:name w:val="Normal (Web)"/>
    <w:basedOn w:val="Normal"/>
    <w:uiPriority w:val="99"/>
    <w:unhideWhenUsed/>
    <w:rsid w:val="00867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867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56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emrxiv.org/engage/chemrxiv/article-details/63655f3bcf6de980fe300253" TargetMode="External"/><Relationship Id="rId18" Type="http://schemas.openxmlformats.org/officeDocument/2006/relationships/hyperlink" Target="https://pubs.acs.org/doi/full/10.1021/acs.analchem.7b00187?src=recsys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jneuroinflammation.biomedcentral.com/articles/10.1186/s12974-022-02508-9" TargetMode="External"/><Relationship Id="rId17" Type="http://schemas.openxmlformats.org/officeDocument/2006/relationships/hyperlink" Target="https://pubs.acs.org/doi/full/10.1021/acschemneuro.7b00326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annualreviews.org/doi/abs/10.1146/annurev-anchem-061417-125619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jneuroinflammation.biomedcentral.com/articles/10.1186/s12974-022-02508-9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ubs.acs.org/doi/10.1021/acs.analchem.8b02210" TargetMode="External"/><Relationship Id="rId10" Type="http://schemas.openxmlformats.org/officeDocument/2006/relationships/hyperlink" Target="https://www.mdpi.com/2073-4409/11/10/1719" TargetMode="External"/><Relationship Id="rId19" Type="http://schemas.openxmlformats.org/officeDocument/2006/relationships/hyperlink" Target="https://pubs.acs.org/doi/10.1021/cn4000814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pubs.acs.org/doi/full/10.1021/acschemneuro.0c00037" TargetMode="External"/><Relationship Id="rId14" Type="http://schemas.openxmlformats.org/officeDocument/2006/relationships/hyperlink" Target="https://doi.org/10.1039/C9AY00055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29DE915B66E6469DFEE959DD777101" ma:contentTypeVersion="10" ma:contentTypeDescription="Create a new document." ma:contentTypeScope="" ma:versionID="852273293eb212c8702fa64ff05c7320">
  <xsd:schema xmlns:xsd="http://www.w3.org/2001/XMLSchema" xmlns:xs="http://www.w3.org/2001/XMLSchema" xmlns:p="http://schemas.microsoft.com/office/2006/metadata/properties" xmlns:ns3="a77cc024-8aca-4805-90ce-4e5524923844" xmlns:ns4="e16b1c79-a744-482b-9db8-1bb4ee577072" targetNamespace="http://schemas.microsoft.com/office/2006/metadata/properties" ma:root="true" ma:fieldsID="8498bc79773c29b4fccefab52156f7e1" ns3:_="" ns4:_="">
    <xsd:import namespace="a77cc024-8aca-4805-90ce-4e5524923844"/>
    <xsd:import namespace="e16b1c79-a744-482b-9db8-1bb4ee57707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cc024-8aca-4805-90ce-4e5524923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6b1c79-a744-482b-9db8-1bb4ee57707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77cc024-8aca-4805-90ce-4e5524923844" xsi:nil="true"/>
  </documentManagement>
</p:properties>
</file>

<file path=customXml/itemProps1.xml><?xml version="1.0" encoding="utf-8"?>
<ds:datastoreItem xmlns:ds="http://schemas.openxmlformats.org/officeDocument/2006/customXml" ds:itemID="{475A0669-C7C4-49BC-AF71-380C709B14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639F42-EB2E-4524-805B-C3D334807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7cc024-8aca-4805-90ce-4e5524923844"/>
    <ds:schemaRef ds:uri="e16b1c79-a744-482b-9db8-1bb4ee5770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3010D1-47B4-4753-8F9E-FD09B18B06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FCDE8-2C9A-4AB4-B593-09B90CF1C8E3}">
  <ds:schemaRefs>
    <ds:schemaRef ds:uri="http://purl.org/dc/elements/1.1/"/>
    <ds:schemaRef ds:uri="http://purl.org/dc/terms/"/>
    <ds:schemaRef ds:uri="http://schemas.microsoft.com/office/2006/documentManagement/types"/>
    <ds:schemaRef ds:uri="a77cc024-8aca-4805-90ce-4e5524923844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e16b1c79-a744-482b-9db8-1bb4ee5770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Eben Browne</dc:creator>
  <cp:keywords/>
  <dc:description/>
  <cp:lastModifiedBy>Eben Browne</cp:lastModifiedBy>
  <cp:revision>2</cp:revision>
  <cp:lastPrinted>2024-06-04T18:54:00Z</cp:lastPrinted>
  <dcterms:created xsi:type="dcterms:W3CDTF">2024-06-18T18:23:00Z</dcterms:created>
  <dcterms:modified xsi:type="dcterms:W3CDTF">2024-06-18T18:23:00Z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0x010100C629DE915B66E6469DFEE959DD777101</vt:lpwstr>
  </property>
</Properties>
</file>