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9A079" w14:textId="77777777" w:rsidR="002D046A" w:rsidRPr="002D046A" w:rsidRDefault="002D046A" w:rsidP="002D046A">
      <w:pPr>
        <w:shd w:val="clear" w:color="auto" w:fill="FFFFFF"/>
        <w:spacing w:before="60" w:after="192" w:line="384" w:lineRule="atLeast"/>
        <w:rPr>
          <w:rFonts w:ascii="Arial Black" w:eastAsiaTheme="majorEastAsia" w:hAnsi="Arial Black" w:cs="Segoe UI"/>
          <w:b/>
          <w:bCs/>
          <w:color w:val="000000"/>
          <w:kern w:val="0"/>
          <w:sz w:val="36"/>
          <w:szCs w:val="36"/>
          <w14:ligatures w14:val="none"/>
        </w:rPr>
      </w:pPr>
      <w:r w:rsidRPr="002D046A">
        <w:rPr>
          <w:rFonts w:ascii="Arial Black" w:eastAsiaTheme="majorEastAsia" w:hAnsi="Arial Black" w:cs="Segoe UI"/>
          <w:b/>
          <w:bCs/>
          <w:color w:val="000000"/>
          <w:kern w:val="0"/>
          <w:sz w:val="36"/>
          <w:szCs w:val="36"/>
          <w14:ligatures w14:val="none"/>
        </w:rPr>
        <w:t>Terence Cuneo</w:t>
      </w:r>
    </w:p>
    <w:p w14:paraId="07D987DC" w14:textId="77777777" w:rsidR="00A75A0C" w:rsidRDefault="00A75A0C" w:rsidP="00A75A0C">
      <w:pPr>
        <w:shd w:val="clear" w:color="auto" w:fill="FFFFFF"/>
        <w:spacing w:before="60" w:after="192" w:line="384" w:lineRule="atLeast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Style w:val="scxw203905267"/>
          <w:rFonts w:ascii="Arial" w:hAnsi="Arial" w:cs="Arial"/>
          <w:color w:val="000000"/>
          <w:sz w:val="20"/>
          <w:szCs w:val="20"/>
        </w:rPr>
        <w:t> </w:t>
      </w:r>
    </w:p>
    <w:p w14:paraId="571DE461" w14:textId="45FF54D3" w:rsidR="00A75A0C" w:rsidRPr="00A75A0C" w:rsidRDefault="00A75A0C" w:rsidP="00A75A0C">
      <w:pPr>
        <w:shd w:val="clear" w:color="auto" w:fill="FFFFFF"/>
        <w:spacing w:before="60" w:after="192" w:line="384" w:lineRule="atLeast"/>
        <w:rPr>
          <w:rFonts w:ascii="Roboto" w:hAnsi="Roboto" w:cs="Segoe UI"/>
          <w:color w:val="444444"/>
          <w:sz w:val="25"/>
          <w:szCs w:val="25"/>
        </w:rPr>
      </w:pPr>
      <w:r>
        <w:rPr>
          <w:rStyle w:val="normaltextrun"/>
          <w:rFonts w:ascii="Arial" w:hAnsi="Arial" w:cs="Arial"/>
          <w:color w:val="66AC47"/>
          <w:sz w:val="28"/>
          <w:szCs w:val="28"/>
        </w:rPr>
        <w:t>PUBLICATIONS</w:t>
      </w:r>
      <w:r>
        <w:rPr>
          <w:rStyle w:val="normaltextrun"/>
          <w:rFonts w:ascii="Roboto" w:hAnsi="Roboto" w:cs="Segoe UI"/>
          <w:color w:val="444444"/>
          <w:sz w:val="25"/>
          <w:szCs w:val="25"/>
        </w:rPr>
        <w:t xml:space="preserve"> </w:t>
      </w:r>
    </w:p>
    <w:p w14:paraId="58020EBF" w14:textId="77777777" w:rsidR="0086766F" w:rsidRDefault="0086766F" w:rsidP="008676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Understanding Morality</w:t>
      </w:r>
      <w:r>
        <w:rPr>
          <w:rFonts w:ascii="Roboto" w:hAnsi="Roboto"/>
          <w:color w:val="444444"/>
          <w:sz w:val="26"/>
          <w:szCs w:val="26"/>
        </w:rPr>
        <w:t> (with John Bengson and Russ Shafer-Landau) (Oxford, forthcoming)</w:t>
      </w:r>
    </w:p>
    <w:p w14:paraId="61FC8AE1" w14:textId="77777777" w:rsidR="0086766F" w:rsidRDefault="0086766F" w:rsidP="008676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Active Ethical Agency: Thomas Reid on Ethics and Action</w:t>
      </w:r>
      <w:r>
        <w:rPr>
          <w:rFonts w:ascii="Roboto" w:hAnsi="Roboto"/>
          <w:color w:val="444444"/>
          <w:sz w:val="26"/>
          <w:szCs w:val="26"/>
        </w:rPr>
        <w:t> (Cambridge, forthcoming)</w:t>
      </w:r>
    </w:p>
    <w:p w14:paraId="3068BD3F" w14:textId="77777777" w:rsidR="0086766F" w:rsidRDefault="0086766F" w:rsidP="008676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Ritualized Faith: Essays on the Philosophy of Liturgy</w:t>
      </w:r>
      <w:r>
        <w:rPr>
          <w:rFonts w:ascii="Roboto" w:hAnsi="Roboto"/>
          <w:color w:val="444444"/>
          <w:sz w:val="26"/>
          <w:szCs w:val="26"/>
        </w:rPr>
        <w:t> (Oxford, 2016)</w:t>
      </w:r>
    </w:p>
    <w:p w14:paraId="3D30D5C1" w14:textId="77777777" w:rsidR="0086766F" w:rsidRDefault="0086766F" w:rsidP="008676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Speech and Morality: On the Metaethical Implications of Speaking</w:t>
      </w:r>
      <w:r>
        <w:rPr>
          <w:rFonts w:ascii="Roboto" w:hAnsi="Roboto"/>
          <w:color w:val="444444"/>
          <w:sz w:val="26"/>
          <w:szCs w:val="26"/>
        </w:rPr>
        <w:t> (Oxford 2014)</w:t>
      </w:r>
    </w:p>
    <w:p w14:paraId="15852BFA" w14:textId="77777777" w:rsidR="0086766F" w:rsidRDefault="0086766F" w:rsidP="008676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The Normative Web: An Argument for Moral Realism, </w:t>
      </w:r>
      <w:r>
        <w:rPr>
          <w:rFonts w:ascii="Roboto" w:hAnsi="Roboto"/>
          <w:color w:val="444444"/>
          <w:sz w:val="26"/>
          <w:szCs w:val="26"/>
        </w:rPr>
        <w:t>Oxford, 2007</w:t>
      </w:r>
      <w:r>
        <w:rPr>
          <w:rFonts w:ascii="Roboto" w:hAnsi="Roboto"/>
          <w:color w:val="444444"/>
          <w:sz w:val="26"/>
          <w:szCs w:val="26"/>
        </w:rPr>
        <w:br/>
        <w:t>Awarded Honorable Mention, American Philosophical Association Biennial Book Prize 2007-2009</w:t>
      </w:r>
      <w:r>
        <w:rPr>
          <w:rFonts w:ascii="Roboto" w:hAnsi="Roboto"/>
          <w:color w:val="444444"/>
          <w:sz w:val="26"/>
          <w:szCs w:val="26"/>
        </w:rPr>
        <w:br/>
        <w:t> </w:t>
      </w:r>
    </w:p>
    <w:p w14:paraId="30F4C7A6" w14:textId="77777777" w:rsidR="0086766F" w:rsidRDefault="0086766F" w:rsidP="008676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Style w:val="Strong"/>
          <w:rFonts w:ascii="Roboto" w:eastAsiaTheme="majorEastAsia" w:hAnsi="Roboto"/>
          <w:b w:val="0"/>
          <w:bCs w:val="0"/>
          <w:color w:val="444444"/>
          <w:sz w:val="26"/>
          <w:szCs w:val="26"/>
        </w:rPr>
        <w:t>Selected recent articles:</w:t>
      </w:r>
      <w:r>
        <w:rPr>
          <w:rFonts w:ascii="Roboto" w:hAnsi="Roboto"/>
          <w:color w:val="444444"/>
          <w:sz w:val="26"/>
          <w:szCs w:val="26"/>
        </w:rPr>
        <w:br/>
      </w:r>
      <w:r>
        <w:rPr>
          <w:rFonts w:ascii="Roboto" w:hAnsi="Roboto"/>
          <w:color w:val="444444"/>
          <w:sz w:val="26"/>
          <w:szCs w:val="26"/>
        </w:rPr>
        <w:br/>
        <w:t xml:space="preserve">“Can </w:t>
      </w:r>
      <w:proofErr w:type="spellStart"/>
      <w:r>
        <w:rPr>
          <w:rFonts w:ascii="Roboto" w:hAnsi="Roboto"/>
          <w:color w:val="444444"/>
          <w:sz w:val="26"/>
          <w:szCs w:val="26"/>
        </w:rPr>
        <w:t>Expressivism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 Have </w:t>
      </w:r>
      <w:proofErr w:type="gramStart"/>
      <w:r>
        <w:rPr>
          <w:rFonts w:ascii="Roboto" w:hAnsi="Roboto"/>
          <w:color w:val="444444"/>
          <w:sz w:val="26"/>
          <w:szCs w:val="26"/>
        </w:rPr>
        <w:t>it</w:t>
      </w:r>
      <w:proofErr w:type="gramEnd"/>
      <w:r>
        <w:rPr>
          <w:rFonts w:ascii="Roboto" w:hAnsi="Roboto"/>
          <w:color w:val="444444"/>
          <w:sz w:val="26"/>
          <w:szCs w:val="26"/>
        </w:rPr>
        <w:t xml:space="preserve"> All?”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Philosophical Studies</w:t>
      </w:r>
      <w:r>
        <w:rPr>
          <w:rFonts w:ascii="Roboto" w:hAnsi="Roboto"/>
          <w:color w:val="444444"/>
          <w:sz w:val="26"/>
          <w:szCs w:val="26"/>
        </w:rPr>
        <w:t> (forthcoming)</w:t>
      </w:r>
    </w:p>
    <w:p w14:paraId="399BFD21" w14:textId="77777777" w:rsidR="0086766F" w:rsidRDefault="0086766F" w:rsidP="008676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“Method in the Service of Progress” with (John Bengson and Russ Shafer-Landau)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Analytic Philosophy</w:t>
      </w:r>
      <w:r>
        <w:rPr>
          <w:rFonts w:ascii="Roboto" w:hAnsi="Roboto"/>
          <w:color w:val="444444"/>
          <w:sz w:val="26"/>
          <w:szCs w:val="26"/>
        </w:rPr>
        <w:t> (forthcoming)</w:t>
      </w:r>
    </w:p>
    <w:p w14:paraId="304A9BF4" w14:textId="77777777" w:rsidR="0086766F" w:rsidRDefault="0086766F" w:rsidP="008676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“Methods, Goals, and Data in Metaethics” with (John Bengson and Russ Shafer-Landau). In Karen Jones, Mark Timmons, and Aaron Zimmerman, eds.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The Routledge Companion to Moral Epistemology</w:t>
      </w:r>
      <w:r>
        <w:rPr>
          <w:rFonts w:ascii="Roboto" w:hAnsi="Roboto"/>
          <w:color w:val="444444"/>
          <w:sz w:val="26"/>
          <w:szCs w:val="26"/>
        </w:rPr>
        <w:t>. Routledge, 2018: 387-404              </w:t>
      </w:r>
    </w:p>
    <w:p w14:paraId="394DA5A0" w14:textId="77777777" w:rsidR="0086766F" w:rsidRDefault="0086766F" w:rsidP="008676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lastRenderedPageBreak/>
        <w:t>“The Inaccessibility of Religion Problem.” Ergo, Vol. 4, 2017 </w:t>
      </w:r>
      <w:hyperlink r:id="rId9" w:history="1">
        <w:r>
          <w:rPr>
            <w:rStyle w:val="Hyperlink"/>
            <w:rFonts w:ascii="Roboto" w:eastAsiaTheme="majorEastAsia" w:hAnsi="Roboto"/>
            <w:color w:val="444444"/>
            <w:sz w:val="26"/>
            <w:szCs w:val="26"/>
          </w:rPr>
          <w:t>https://quod.lib.umich.edu/e/ergo/12405314.0004.023/--</w:t>
        </w:r>
        <w:proofErr w:type="spellStart"/>
        <w:r>
          <w:rPr>
            <w:rStyle w:val="Hyperlink"/>
            <w:rFonts w:ascii="Roboto" w:eastAsiaTheme="majorEastAsia" w:hAnsi="Roboto"/>
            <w:color w:val="444444"/>
            <w:sz w:val="26"/>
            <w:szCs w:val="26"/>
          </w:rPr>
          <w:t>inaccessibility-of-religion-problem?rgn</w:t>
        </w:r>
        <w:proofErr w:type="spellEnd"/>
        <w:r>
          <w:rPr>
            <w:rStyle w:val="Hyperlink"/>
            <w:rFonts w:ascii="Roboto" w:eastAsiaTheme="majorEastAsia" w:hAnsi="Roboto"/>
            <w:color w:val="444444"/>
            <w:sz w:val="26"/>
            <w:szCs w:val="26"/>
          </w:rPr>
          <w:t>=</w:t>
        </w:r>
        <w:proofErr w:type="spellStart"/>
        <w:r>
          <w:rPr>
            <w:rStyle w:val="Hyperlink"/>
            <w:rFonts w:ascii="Roboto" w:eastAsiaTheme="majorEastAsia" w:hAnsi="Roboto"/>
            <w:color w:val="444444"/>
            <w:sz w:val="26"/>
            <w:szCs w:val="26"/>
          </w:rPr>
          <w:t>main;view</w:t>
        </w:r>
        <w:proofErr w:type="spellEnd"/>
        <w:r>
          <w:rPr>
            <w:rStyle w:val="Hyperlink"/>
            <w:rFonts w:ascii="Roboto" w:eastAsiaTheme="majorEastAsia" w:hAnsi="Roboto"/>
            <w:color w:val="444444"/>
            <w:sz w:val="26"/>
            <w:szCs w:val="26"/>
          </w:rPr>
          <w:t>=</w:t>
        </w:r>
        <w:proofErr w:type="spellStart"/>
        <w:r>
          <w:rPr>
            <w:rStyle w:val="Hyperlink"/>
            <w:rFonts w:ascii="Roboto" w:eastAsiaTheme="majorEastAsia" w:hAnsi="Roboto"/>
            <w:color w:val="444444"/>
            <w:sz w:val="26"/>
            <w:szCs w:val="26"/>
          </w:rPr>
          <w:t>fulltext</w:t>
        </w:r>
        <w:proofErr w:type="spellEnd"/>
      </w:hyperlink>
    </w:p>
    <w:p w14:paraId="72D7B7A0" w14:textId="77777777" w:rsidR="0086766F" w:rsidRDefault="0086766F" w:rsidP="008676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“Reid on the Autonomy of Ethics: From Active Power to Moral </w:t>
      </w:r>
      <w:proofErr w:type="spellStart"/>
      <w:r>
        <w:rPr>
          <w:rFonts w:ascii="Roboto" w:hAnsi="Roboto"/>
          <w:color w:val="444444"/>
          <w:sz w:val="26"/>
          <w:szCs w:val="26"/>
        </w:rPr>
        <w:t>Nonnaturalism</w:t>
      </w:r>
      <w:proofErr w:type="spellEnd"/>
      <w:r>
        <w:rPr>
          <w:rFonts w:ascii="Roboto" w:hAnsi="Roboto"/>
          <w:color w:val="444444"/>
          <w:sz w:val="26"/>
          <w:szCs w:val="26"/>
        </w:rPr>
        <w:t>” (with Randall Harp).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Journal of the American Philosophical Association</w:t>
      </w:r>
      <w:r>
        <w:rPr>
          <w:rFonts w:ascii="Roboto" w:hAnsi="Roboto"/>
          <w:color w:val="444444"/>
          <w:sz w:val="26"/>
          <w:szCs w:val="26"/>
        </w:rPr>
        <w:t> 2, 2017: 523-41</w:t>
      </w:r>
    </w:p>
    <w:p w14:paraId="58AC606C" w14:textId="77777777" w:rsidR="0086766F" w:rsidRDefault="0086766F" w:rsidP="008676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“Destabilizing the Moral Error Theory.” In Martin Grajner, ed.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Epistemic Reasons, Epistemic Norms, and Epistemic Goals</w:t>
      </w:r>
      <w:r>
        <w:rPr>
          <w:rFonts w:ascii="Roboto" w:hAnsi="Roboto"/>
          <w:color w:val="444444"/>
          <w:sz w:val="26"/>
          <w:szCs w:val="26"/>
        </w:rPr>
        <w:t>. De Gruyter, 2016: 71-94</w:t>
      </w:r>
    </w:p>
    <w:p w14:paraId="67FBED44" w14:textId="77777777" w:rsidR="0086766F" w:rsidRDefault="0086766F" w:rsidP="008676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“Does Reid Have Anything to Say to (the new) Hume?” In Todd Buras and Rebecca Copenhaver, eds.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Mind, Knowledge, and Action: Essays in Honor of Reid's Tercentenary</w:t>
      </w:r>
      <w:r>
        <w:rPr>
          <w:rFonts w:ascii="Roboto" w:hAnsi="Roboto"/>
          <w:color w:val="444444"/>
          <w:sz w:val="26"/>
          <w:szCs w:val="26"/>
        </w:rPr>
        <w:t>. Oxford University Press, 2015: 232-48</w:t>
      </w:r>
    </w:p>
    <w:p w14:paraId="46CA4855" w14:textId="77777777" w:rsidR="0086766F" w:rsidRDefault="0086766F" w:rsidP="008676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“Reid on the First Principles of Morals.”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Canadian Journal of Philosophy</w:t>
      </w:r>
      <w:r>
        <w:rPr>
          <w:rFonts w:ascii="Roboto" w:hAnsi="Roboto"/>
          <w:color w:val="444444"/>
          <w:sz w:val="26"/>
          <w:szCs w:val="26"/>
        </w:rPr>
        <w:t> 41, Supplement 1, 2014: 102-21</w:t>
      </w:r>
    </w:p>
    <w:p w14:paraId="5945BDAB" w14:textId="77777777" w:rsidR="0086766F" w:rsidRDefault="0086766F" w:rsidP="008676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“The Moral Fixed Points: New Directions for Moral </w:t>
      </w:r>
      <w:proofErr w:type="spellStart"/>
      <w:r>
        <w:rPr>
          <w:rFonts w:ascii="Roboto" w:hAnsi="Roboto"/>
          <w:color w:val="444444"/>
          <w:sz w:val="26"/>
          <w:szCs w:val="26"/>
        </w:rPr>
        <w:t>Nonnaturalism</w:t>
      </w:r>
      <w:proofErr w:type="spellEnd"/>
      <w:r>
        <w:rPr>
          <w:rFonts w:ascii="Roboto" w:hAnsi="Roboto"/>
          <w:color w:val="444444"/>
          <w:sz w:val="26"/>
          <w:szCs w:val="26"/>
        </w:rPr>
        <w:t>.” (with Russ Shafer-Landau)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Philosophical Studies</w:t>
      </w:r>
      <w:r>
        <w:rPr>
          <w:rFonts w:ascii="Roboto" w:hAnsi="Roboto"/>
          <w:color w:val="444444"/>
          <w:sz w:val="26"/>
          <w:szCs w:val="26"/>
        </w:rPr>
        <w:t> 171, 2014: 399-443                    </w:t>
      </w:r>
    </w:p>
    <w:p w14:paraId="638A2C53" w14:textId="77777777" w:rsidR="0086766F" w:rsidRDefault="0086766F" w:rsidP="008676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“Properties for Nothing, Facts for Free? </w:t>
      </w:r>
      <w:proofErr w:type="spellStart"/>
      <w:r>
        <w:rPr>
          <w:rFonts w:ascii="Roboto" w:hAnsi="Roboto"/>
          <w:color w:val="444444"/>
          <w:sz w:val="26"/>
          <w:szCs w:val="26"/>
        </w:rPr>
        <w:t>Expressivism's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 Deflationary Gambit.” </w:t>
      </w:r>
      <w:r>
        <w:rPr>
          <w:rStyle w:val="Emphasis"/>
          <w:rFonts w:ascii="Roboto" w:eastAsiaTheme="majorEastAsia" w:hAnsi="Roboto"/>
          <w:color w:val="444444"/>
          <w:sz w:val="26"/>
          <w:szCs w:val="26"/>
        </w:rPr>
        <w:t>Oxford Studies in Metaethics</w:t>
      </w:r>
      <w:r>
        <w:rPr>
          <w:rFonts w:ascii="Roboto" w:hAnsi="Roboto"/>
          <w:color w:val="444444"/>
          <w:sz w:val="26"/>
          <w:szCs w:val="26"/>
        </w:rPr>
        <w:t>, vol. 6, 2013: 223-51</w:t>
      </w:r>
    </w:p>
    <w:p w14:paraId="60EA27A2" w14:textId="47CB82D3" w:rsidR="00420FD0" w:rsidRPr="00420FD0" w:rsidRDefault="00420FD0" w:rsidP="0086766F">
      <w:pPr>
        <w:shd w:val="clear" w:color="auto" w:fill="FFFFFF"/>
        <w:spacing w:before="60" w:after="192" w:line="384" w:lineRule="atLeast"/>
        <w:ind w:left="360"/>
        <w:rPr>
          <w:rFonts w:ascii="Roboto" w:eastAsia="Times New Roman" w:hAnsi="Roboto" w:cs="Times New Roman"/>
          <w:color w:val="444444"/>
          <w:kern w:val="0"/>
          <w:sz w:val="24"/>
          <w:szCs w:val="24"/>
          <w14:ligatures w14:val="none"/>
        </w:rPr>
      </w:pPr>
    </w:p>
    <w:p w14:paraId="65586CA3" w14:textId="77777777" w:rsidR="00A75A0C" w:rsidRDefault="00A75A0C" w:rsidP="00A75A0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Roboto" w:eastAsiaTheme="majorEastAsia" w:hAnsi="Roboto" w:cs="Segoe UI"/>
          <w:color w:val="444444"/>
          <w:sz w:val="25"/>
          <w:szCs w:val="25"/>
        </w:rPr>
        <w:t> </w:t>
      </w:r>
    </w:p>
    <w:p w14:paraId="598B5AFF" w14:textId="77777777" w:rsidR="00A75A0C" w:rsidRPr="00A75A0C" w:rsidRDefault="00A75A0C" w:rsidP="00A75A0C">
      <w:pPr>
        <w:rPr>
          <w:rFonts w:ascii="Arial Black" w:hAnsi="Arial Black"/>
          <w:color w:val="3A7C22" w:themeColor="accent6" w:themeShade="BF"/>
        </w:rPr>
      </w:pPr>
    </w:p>
    <w:sectPr w:rsidR="00A75A0C" w:rsidRPr="00A75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3ED4"/>
    <w:multiLevelType w:val="hybridMultilevel"/>
    <w:tmpl w:val="EB4E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24DF"/>
    <w:multiLevelType w:val="multilevel"/>
    <w:tmpl w:val="6FC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255670"/>
    <w:multiLevelType w:val="multilevel"/>
    <w:tmpl w:val="B8DE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2157E"/>
    <w:multiLevelType w:val="multilevel"/>
    <w:tmpl w:val="89FC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623361">
    <w:abstractNumId w:val="3"/>
  </w:num>
  <w:num w:numId="2" w16cid:durableId="1449470618">
    <w:abstractNumId w:val="0"/>
  </w:num>
  <w:num w:numId="3" w16cid:durableId="218983095">
    <w:abstractNumId w:val="1"/>
  </w:num>
  <w:num w:numId="4" w16cid:durableId="1686200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0C"/>
    <w:rsid w:val="00007817"/>
    <w:rsid w:val="00084ABC"/>
    <w:rsid w:val="002D046A"/>
    <w:rsid w:val="00420FD0"/>
    <w:rsid w:val="004700D8"/>
    <w:rsid w:val="00473977"/>
    <w:rsid w:val="004C309F"/>
    <w:rsid w:val="007C352C"/>
    <w:rsid w:val="0086766F"/>
    <w:rsid w:val="008B088E"/>
    <w:rsid w:val="00952FA9"/>
    <w:rsid w:val="00A16D2E"/>
    <w:rsid w:val="00A63D18"/>
    <w:rsid w:val="00A75A0C"/>
    <w:rsid w:val="00BE5B02"/>
    <w:rsid w:val="00F13A61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5758"/>
  <w15:chartTrackingRefBased/>
  <w15:docId w15:val="{9906B6F7-AB81-45F3-955E-4B08BDB0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A0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7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75A0C"/>
  </w:style>
  <w:style w:type="character" w:customStyle="1" w:styleId="eop">
    <w:name w:val="eop"/>
    <w:basedOn w:val="DefaultParagraphFont"/>
    <w:rsid w:val="00A75A0C"/>
  </w:style>
  <w:style w:type="character" w:customStyle="1" w:styleId="scxw203905267">
    <w:name w:val="scxw203905267"/>
    <w:basedOn w:val="DefaultParagraphFont"/>
    <w:rsid w:val="00A75A0C"/>
  </w:style>
  <w:style w:type="character" w:styleId="Strong">
    <w:name w:val="Strong"/>
    <w:basedOn w:val="DefaultParagraphFont"/>
    <w:uiPriority w:val="22"/>
    <w:qFormat/>
    <w:rsid w:val="00A75A0C"/>
    <w:rPr>
      <w:b/>
      <w:bCs/>
    </w:rPr>
  </w:style>
  <w:style w:type="character" w:styleId="Emphasis">
    <w:name w:val="Emphasis"/>
    <w:basedOn w:val="DefaultParagraphFont"/>
    <w:uiPriority w:val="20"/>
    <w:qFormat/>
    <w:rsid w:val="00A75A0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6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67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quod.lib.umich.edu/e/ergo/12405314.0004.023/--inaccessibility-of-religion-problem?rgn=main;view=full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9DE915B66E6469DFEE959DD777101" ma:contentTypeVersion="10" ma:contentTypeDescription="Create a new document." ma:contentTypeScope="" ma:versionID="852273293eb212c8702fa64ff05c7320">
  <xsd:schema xmlns:xsd="http://www.w3.org/2001/XMLSchema" xmlns:xs="http://www.w3.org/2001/XMLSchema" xmlns:p="http://schemas.microsoft.com/office/2006/metadata/properties" xmlns:ns3="a77cc024-8aca-4805-90ce-4e5524923844" xmlns:ns4="e16b1c79-a744-482b-9db8-1bb4ee577072" targetNamespace="http://schemas.microsoft.com/office/2006/metadata/properties" ma:root="true" ma:fieldsID="8498bc79773c29b4fccefab52156f7e1" ns3:_="" ns4:_="">
    <xsd:import namespace="a77cc024-8aca-4805-90ce-4e5524923844"/>
    <xsd:import namespace="e16b1c79-a744-482b-9db8-1bb4ee5770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cc024-8aca-4805-90ce-4e5524923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b1c79-a744-482b-9db8-1bb4ee577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7cc024-8aca-4805-90ce-4e5524923844" xsi:nil="true"/>
  </documentManagement>
</p:properties>
</file>

<file path=customXml/itemProps1.xml><?xml version="1.0" encoding="utf-8"?>
<ds:datastoreItem xmlns:ds="http://schemas.openxmlformats.org/officeDocument/2006/customXml" ds:itemID="{475A0669-C7C4-49BC-AF71-380C709B1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39F42-EB2E-4524-805B-C3D334807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cc024-8aca-4805-90ce-4e5524923844"/>
    <ds:schemaRef ds:uri="e16b1c79-a744-482b-9db8-1bb4ee577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010D1-47B4-4753-8F9E-FD09B18B06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FCDE8-2C9A-4AB4-B593-09B90CF1C8E3}">
  <ds:schemaRefs>
    <ds:schemaRef ds:uri="http://purl.org/dc/elements/1.1/"/>
    <ds:schemaRef ds:uri="http://schemas.microsoft.com/office/2006/metadata/properties"/>
    <ds:schemaRef ds:uri="e16b1c79-a744-482b-9db8-1bb4ee577072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a77cc024-8aca-4805-90ce-4e552492384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 Browne</dc:creator>
  <cp:keywords/>
  <dc:description/>
  <cp:lastModifiedBy>Eben Browne</cp:lastModifiedBy>
  <cp:revision>2</cp:revision>
  <cp:lastPrinted>2024-06-04T18:54:00Z</cp:lastPrinted>
  <dcterms:created xsi:type="dcterms:W3CDTF">2024-06-18T17:10:00Z</dcterms:created>
  <dcterms:modified xsi:type="dcterms:W3CDTF">2024-06-18T17:10:00Z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0x010100C629DE915B66E6469DFEE959DD777101</vt:lpwstr>
  </property>
</Properties>
</file>