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0FC66E4F" w:rsidR="213AE202" w:rsidRDefault="00D7210D" w:rsidP="2A1EAFD4">
      <w:pPr>
        <w:pStyle w:val="Heading1"/>
        <w:spacing w:line="259" w:lineRule="auto"/>
      </w:pPr>
      <w:r w:rsidRPr="00D7210D">
        <w:rPr>
          <w:sz w:val="36"/>
          <w:szCs w:val="36"/>
        </w:rPr>
        <w:t xml:space="preserve">Robert J. </w:t>
      </w:r>
      <w:proofErr w:type="spellStart"/>
      <w:r w:rsidRPr="00D7210D">
        <w:rPr>
          <w:sz w:val="36"/>
          <w:szCs w:val="36"/>
        </w:rPr>
        <w:t>Hondal</w:t>
      </w:r>
      <w:proofErr w:type="spellEnd"/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3DC4521C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1)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Jenny KA, Mose G, Haupt DJ,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(2022) Oxidized forms of ergothioneine are substrates for mammalian thioredoxin reductase.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Antioxidants 11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, 185. </w:t>
      </w:r>
      <w:hyperlink r:id="rId11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https://doi.org/10.3390/antiox11020185</w:t>
        </w:r>
      </w:hyperlink>
    </w:p>
    <w:p w14:paraId="2F8ECC6C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2)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Jenny KA, Ruggles EL, Liptak MD, Masterson DS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(2021) Ergothioneine in a peptide: Substitution of histidine with 2-thiohistidine in bioactive peptides.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J. </w:t>
      </w:r>
      <w:proofErr w:type="spellStart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Pept</w:t>
      </w:r>
      <w:proofErr w:type="spellEnd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. Sci.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e3339. </w:t>
      </w:r>
      <w:hyperlink r:id="rId12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https://doi.org/10.1002/psc.3339</w:t>
        </w:r>
      </w:hyperlink>
    </w:p>
    <w:p w14:paraId="14451352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3)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Ste.Marie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E, Wehrle RJ, Haupt DJ, Wood NB, van der Vliet A, Previs MJ, Masterson DS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(2020) Can selenoenzymes resist electrophilic modification? Evidence from thioredoxin reductase and a mutant containing alpha-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methylselenocysteine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Biochemistry 59,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3300-3315. </w:t>
      </w:r>
      <w:hyperlink r:id="rId13" w:tooltip="DOI URL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https://doi.org/10.1021/acs.biochem.0c00608</w:t>
        </w:r>
      </w:hyperlink>
    </w:p>
    <w:p w14:paraId="3902DA3A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>4)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Ste.Marie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E,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(2020) 2,2´-Dipyridyl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diselenide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: A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chemoselective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tool for cysteine deprotection and disulfide bond formation.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J. </w:t>
      </w:r>
      <w:proofErr w:type="spellStart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Pept</w:t>
      </w:r>
      <w:proofErr w:type="spellEnd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. Sci. 26,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e3236. </w:t>
      </w:r>
      <w:hyperlink r:id="rId14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https://doi.org/10.1002/psc.3236</w:t>
        </w:r>
      </w:hyperlink>
    </w:p>
    <w:p w14:paraId="3D7AA7B5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5)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Barber DR,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(2019) Gain of function conferred by selenocysteine: Catalytic enhancement of one-electron transfer reactions by thioredoxin reductase.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Protein Sci. 28,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79-89. </w:t>
      </w:r>
      <w:hyperlink r:id="rId15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https://doi.org/10.1002/pro.3480</w:t>
        </w:r>
      </w:hyperlink>
    </w:p>
    <w:p w14:paraId="25808CEB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6)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Ste.Marie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E,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(2018) Reduction of cysteine-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S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-protecting groups by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triisopropylsilane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J. </w:t>
      </w:r>
      <w:proofErr w:type="spellStart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Pept</w:t>
      </w:r>
      <w:proofErr w:type="spellEnd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. Sci. 24, e3130.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</w:t>
      </w:r>
      <w:hyperlink r:id="rId16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https://doi.org/10.1002/psc.3130</w:t>
        </w:r>
      </w:hyperlink>
    </w:p>
    <w:p w14:paraId="4FAAD5C2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7)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O’Keefe JP, Dustin CM, Barber DR, Snider GW,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(2018) A “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seleno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-effect” differentiates the roles of redox active cysteine residues in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Plasmodium falciparum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thioredoxin reductase.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Biochemistry 57,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1767-1778. </w:t>
      </w:r>
      <w:hyperlink r:id="rId17" w:tooltip="DOI URL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https://doi.org/10.1021/acs.biochem.8b00004</w:t>
        </w:r>
      </w:hyperlink>
    </w:p>
    <w:p w14:paraId="67D74AC4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>8)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Payne NC, Geissler A, Button A,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Sasuclark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AR, Schroll AL, Ruggles EL,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Gladyshev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VN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(2017) Comparison of the redox chemistry of sulfur and selenium-containing analogs of uracil.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Free Radic. Biol. Med.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104, 249-261. </w:t>
      </w:r>
      <w:hyperlink r:id="rId18" w:tgtFrame="_blank" w:tooltip="Persistent link using digital object identifier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https://doi.org/10.1016/j.freeradbiomed.2017.01.028</w:t>
        </w:r>
      </w:hyperlink>
    </w:p>
    <w:p w14:paraId="495C327F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9)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Reich HJ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(2016) Why Nature chose selenium.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ACS Chem. Biol. 11</w:t>
      </w:r>
      <w:r w:rsidRPr="00D7210D">
        <w:rPr>
          <w:rFonts w:ascii="Roboto" w:hAnsi="Roboto"/>
          <w:color w:val="4D4D4D" w:themeColor="accent6"/>
          <w:sz w:val="25"/>
          <w:szCs w:val="25"/>
        </w:rPr>
        <w:t>, 821-841. </w:t>
      </w:r>
    </w:p>
    <w:p w14:paraId="7109FE30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>10)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Lothrop AP, Snider GW, Ruggles EL, Patel AS, Lees WJ,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(2014) Selenium as an electron acceptor during the catalytic mechanism of thioredoxin reductase,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Biochemistry 53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, 654-663. </w:t>
      </w:r>
      <w:hyperlink r:id="rId19" w:tooltip="DOI URL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https://doi.org/10.1021/bi400658g</w:t>
        </w:r>
      </w:hyperlink>
    </w:p>
    <w:p w14:paraId="27695F4A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>11)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Lothrop AP, Snider GW, Flemer S. Jr., Ruggles EL, Davidson RS, Lamb A,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(2014) Compensating for the absence of selenocysteine in high </w:t>
      </w:r>
      <w:proofErr w:type="spellStart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M</w:t>
      </w:r>
      <w:r w:rsidRPr="00D7210D">
        <w:rPr>
          <w:rFonts w:ascii="Roboto" w:hAnsi="Roboto"/>
          <w:color w:val="4D4D4D" w:themeColor="accent6"/>
          <w:sz w:val="25"/>
          <w:szCs w:val="25"/>
          <w:vertAlign w:val="subscript"/>
        </w:rPr>
        <w:t>r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</w:t>
      </w:r>
      <w:r w:rsidRPr="00D7210D">
        <w:rPr>
          <w:rFonts w:ascii="Roboto" w:hAnsi="Roboto"/>
          <w:color w:val="4D4D4D" w:themeColor="accent6"/>
          <w:sz w:val="25"/>
          <w:szCs w:val="25"/>
        </w:rPr>
        <w:lastRenderedPageBreak/>
        <w:t xml:space="preserve">thioredoxin reductases: The electrophilic activation hypothesis,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Biochemistry 53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, 664-674. </w:t>
      </w:r>
      <w:hyperlink r:id="rId20" w:tooltip="DOI URL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https://doi.org/10.1021/bi4007258</w:t>
        </w:r>
      </w:hyperlink>
    </w:p>
    <w:p w14:paraId="10796A6F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>12)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Snider GW, Ruggles EL, Khan N,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(2013) Selenocysteine confers resistance to inactivation by oxidation in thioredoxin reductase: Comparison of selenium and sulfur enzymes.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Biochemistry 52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, 5472-5481. </w:t>
      </w:r>
      <w:hyperlink r:id="rId21" w:tooltip="DOI URL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https://doi.org/10.1021/bi400462j</w:t>
        </w:r>
      </w:hyperlink>
    </w:p>
    <w:p w14:paraId="1CF4E1EB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>13)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Ruggles EL, Flemer SJ,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(2008) A viable synthesis of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N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-methyl cysteine.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Biopolymers 90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, 61-68. </w:t>
      </w:r>
      <w:hyperlink r:id="rId22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https://doi.org/10.1002/bip.20889</w:t>
        </w:r>
      </w:hyperlink>
    </w:p>
    <w:p w14:paraId="798BB3AF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14)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Harris KM, Flemer S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RJ. (2007) Studies on deprotection of cysteine and selenocysteine side chain protecting groups. 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J. </w:t>
      </w:r>
      <w:proofErr w:type="spellStart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Pept</w:t>
      </w:r>
      <w:proofErr w:type="spellEnd"/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. Sci 13</w:t>
      </w:r>
      <w:r w:rsidRPr="00D7210D">
        <w:rPr>
          <w:rFonts w:ascii="Roboto" w:hAnsi="Roboto"/>
          <w:color w:val="4D4D4D" w:themeColor="accent6"/>
          <w:sz w:val="25"/>
          <w:szCs w:val="25"/>
        </w:rPr>
        <w:t>, 81-93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.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 </w:t>
      </w:r>
      <w:hyperlink r:id="rId23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https://doi.org/10.1002/psc.795</w:t>
        </w:r>
      </w:hyperlink>
    </w:p>
    <w:p w14:paraId="7F792D11" w14:textId="77777777" w:rsidR="00D7210D" w:rsidRPr="00D7210D" w:rsidRDefault="00D7210D" w:rsidP="00D7210D">
      <w:pPr>
        <w:pStyle w:val="NormalWeb"/>
        <w:rPr>
          <w:rFonts w:ascii="Roboto" w:hAnsi="Roboto"/>
          <w:color w:val="4D4D4D" w:themeColor="accent6"/>
          <w:sz w:val="25"/>
          <w:szCs w:val="25"/>
        </w:rPr>
      </w:pPr>
      <w:r w:rsidRPr="00D7210D">
        <w:rPr>
          <w:rStyle w:val="Strong"/>
          <w:rFonts w:ascii="Roboto" w:hAnsi="Roboto"/>
          <w:color w:val="4D4D4D" w:themeColor="accent6"/>
          <w:sz w:val="25"/>
          <w:szCs w:val="25"/>
        </w:rPr>
        <w:t xml:space="preserve">15) 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Eckenroth BE, Harris K,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Turanov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AA,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Gladyshev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VN, Raines RT, &amp;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Hondal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, RJ. (2006) </w:t>
      </w:r>
      <w:proofErr w:type="spellStart"/>
      <w:r w:rsidRPr="00D7210D">
        <w:rPr>
          <w:rFonts w:ascii="Roboto" w:hAnsi="Roboto"/>
          <w:color w:val="4D4D4D" w:themeColor="accent6"/>
          <w:sz w:val="25"/>
          <w:szCs w:val="25"/>
        </w:rPr>
        <w:t>Semisynthesis</w:t>
      </w:r>
      <w:proofErr w:type="spellEnd"/>
      <w:r w:rsidRPr="00D7210D">
        <w:rPr>
          <w:rFonts w:ascii="Roboto" w:hAnsi="Roboto"/>
          <w:color w:val="4D4D4D" w:themeColor="accent6"/>
          <w:sz w:val="25"/>
          <w:szCs w:val="25"/>
        </w:rPr>
        <w:t xml:space="preserve"> and characterization of mammalian thioredoxin reductase.  </w:t>
      </w:r>
      <w:r w:rsidRPr="00D7210D">
        <w:rPr>
          <w:rStyle w:val="Emphasis"/>
          <w:rFonts w:ascii="Roboto" w:hAnsi="Roboto"/>
          <w:color w:val="4D4D4D" w:themeColor="accent6"/>
          <w:sz w:val="25"/>
          <w:szCs w:val="25"/>
        </w:rPr>
        <w:t>Biochemistry 45</w:t>
      </w:r>
      <w:r w:rsidRPr="00D7210D">
        <w:rPr>
          <w:rFonts w:ascii="Roboto" w:hAnsi="Roboto"/>
          <w:color w:val="4D4D4D" w:themeColor="accent6"/>
          <w:sz w:val="25"/>
          <w:szCs w:val="25"/>
        </w:rPr>
        <w:t xml:space="preserve">, 5158-5170. </w:t>
      </w:r>
      <w:hyperlink r:id="rId24" w:tooltip="DOI URL" w:history="1">
        <w:r w:rsidRPr="00D7210D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https://doi.org/10.1021/bi0517887</w:t>
        </w:r>
      </w:hyperlink>
    </w:p>
    <w:p w14:paraId="262287EC" w14:textId="2973517C" w:rsidR="086577AC" w:rsidRPr="00807037" w:rsidRDefault="086577AC" w:rsidP="00576A5C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25"/>
      <w:footerReference w:type="default" r:id="rId26"/>
      <w:headerReference w:type="first" r:id="rId27"/>
      <w:footerReference w:type="first" r:id="rId28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4E24" w14:textId="77777777" w:rsidR="004A52DC" w:rsidRDefault="004A52DC">
      <w:pPr>
        <w:spacing w:after="0"/>
      </w:pPr>
      <w:r>
        <w:separator/>
      </w:r>
    </w:p>
  </w:endnote>
  <w:endnote w:type="continuationSeparator" w:id="0">
    <w:p w14:paraId="02AACCEF" w14:textId="77777777" w:rsidR="004A52DC" w:rsidRDefault="004A52DC">
      <w:pPr>
        <w:spacing w:after="0"/>
      </w:pPr>
      <w:r>
        <w:continuationSeparator/>
      </w:r>
    </w:p>
  </w:endnote>
  <w:endnote w:type="continuationNotice" w:id="1">
    <w:p w14:paraId="1456F807" w14:textId="77777777" w:rsidR="004A52DC" w:rsidRDefault="004A52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71A5" w14:textId="77777777" w:rsidR="004A52DC" w:rsidRDefault="004A52DC">
      <w:pPr>
        <w:spacing w:after="0"/>
      </w:pPr>
      <w:r>
        <w:separator/>
      </w:r>
    </w:p>
  </w:footnote>
  <w:footnote w:type="continuationSeparator" w:id="0">
    <w:p w14:paraId="32BD8296" w14:textId="77777777" w:rsidR="004A52DC" w:rsidRDefault="004A52DC">
      <w:pPr>
        <w:spacing w:after="0"/>
      </w:pPr>
      <w:r>
        <w:continuationSeparator/>
      </w:r>
    </w:p>
  </w:footnote>
  <w:footnote w:type="continuationNotice" w:id="1">
    <w:p w14:paraId="718E372C" w14:textId="77777777" w:rsidR="004A52DC" w:rsidRDefault="004A52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0D85E83"/>
    <w:multiLevelType w:val="hybridMultilevel"/>
    <w:tmpl w:val="D3A87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27AA"/>
    <w:multiLevelType w:val="hybridMultilevel"/>
    <w:tmpl w:val="B83C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85E95"/>
    <w:multiLevelType w:val="multilevel"/>
    <w:tmpl w:val="6C8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473A2"/>
    <w:multiLevelType w:val="multilevel"/>
    <w:tmpl w:val="9B5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698897868">
    <w:abstractNumId w:val="12"/>
  </w:num>
  <w:num w:numId="21" w16cid:durableId="81493102">
    <w:abstractNumId w:val="18"/>
  </w:num>
  <w:num w:numId="22" w16cid:durableId="106900140">
    <w:abstractNumId w:val="15"/>
  </w:num>
  <w:num w:numId="23" w16cid:durableId="270279863">
    <w:abstractNumId w:val="14"/>
  </w:num>
  <w:num w:numId="24" w16cid:durableId="1809282102">
    <w:abstractNumId w:val="20"/>
  </w:num>
  <w:num w:numId="25" w16cid:durableId="90053203">
    <w:abstractNumId w:val="19"/>
  </w:num>
  <w:num w:numId="26" w16cid:durableId="1415005352">
    <w:abstractNumId w:val="11"/>
  </w:num>
  <w:num w:numId="27" w16cid:durableId="1799227091">
    <w:abstractNumId w:val="10"/>
  </w:num>
  <w:num w:numId="28" w16cid:durableId="105120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7A9"/>
    <w:rsid w:val="000539BD"/>
    <w:rsid w:val="00066E2A"/>
    <w:rsid w:val="00076DB4"/>
    <w:rsid w:val="0009195F"/>
    <w:rsid w:val="000946F4"/>
    <w:rsid w:val="000D1832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50710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E1619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B682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B39F6"/>
    <w:rsid w:val="003C0458"/>
    <w:rsid w:val="003C14A1"/>
    <w:rsid w:val="003C38F0"/>
    <w:rsid w:val="003D2EFA"/>
    <w:rsid w:val="003F19B9"/>
    <w:rsid w:val="00400FD0"/>
    <w:rsid w:val="0040118E"/>
    <w:rsid w:val="00403928"/>
    <w:rsid w:val="00433CD1"/>
    <w:rsid w:val="00436DCD"/>
    <w:rsid w:val="0043708E"/>
    <w:rsid w:val="00445933"/>
    <w:rsid w:val="004476A1"/>
    <w:rsid w:val="004476B0"/>
    <w:rsid w:val="004A4BFA"/>
    <w:rsid w:val="004A52DC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5F2B"/>
    <w:rsid w:val="00536083"/>
    <w:rsid w:val="00542008"/>
    <w:rsid w:val="005463C0"/>
    <w:rsid w:val="00566138"/>
    <w:rsid w:val="00576A5C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45E8"/>
    <w:rsid w:val="00616068"/>
    <w:rsid w:val="00627B1A"/>
    <w:rsid w:val="00643B55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7667F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B6BB7"/>
    <w:rsid w:val="009C2119"/>
    <w:rsid w:val="009C429D"/>
    <w:rsid w:val="009C7FD6"/>
    <w:rsid w:val="009D04EB"/>
    <w:rsid w:val="009D41D9"/>
    <w:rsid w:val="009D5B56"/>
    <w:rsid w:val="009E3475"/>
    <w:rsid w:val="009E3C6F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BE2C57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658B"/>
    <w:rsid w:val="00D37D67"/>
    <w:rsid w:val="00D4111F"/>
    <w:rsid w:val="00D468C9"/>
    <w:rsid w:val="00D52131"/>
    <w:rsid w:val="00D56207"/>
    <w:rsid w:val="00D6278D"/>
    <w:rsid w:val="00D7210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0F95757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21/acs.biochem.0c00608" TargetMode="External"/><Relationship Id="rId18" Type="http://schemas.openxmlformats.org/officeDocument/2006/relationships/hyperlink" Target="https://doi.org/10.1016/j.freeradbiomed.2017.01.028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21/bi400462j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002/psc.3339" TargetMode="External"/><Relationship Id="rId17" Type="http://schemas.openxmlformats.org/officeDocument/2006/relationships/hyperlink" Target="https://doi.org/10.1021/acs.biochem.8b00004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2/psc.3130" TargetMode="External"/><Relationship Id="rId20" Type="http://schemas.openxmlformats.org/officeDocument/2006/relationships/hyperlink" Target="https://doi.org/10.1021/bi400725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antiox11020185" TargetMode="External"/><Relationship Id="rId24" Type="http://schemas.openxmlformats.org/officeDocument/2006/relationships/hyperlink" Target="https://doi.org/10.1021/bi051788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02/pro.3480" TargetMode="External"/><Relationship Id="rId23" Type="http://schemas.openxmlformats.org/officeDocument/2006/relationships/hyperlink" Target="https://doi.org/10.1002/psc.795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oi.org/10.1021/bi400658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02/psc.3236" TargetMode="External"/><Relationship Id="rId22" Type="http://schemas.openxmlformats.org/officeDocument/2006/relationships/hyperlink" Target="https://doi.org/10.1002/bip.20889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3618</Characters>
  <Application>Microsoft Office Word</Application>
  <DocSecurity>0</DocSecurity>
  <Lines>63</Lines>
  <Paragraphs>24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