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E9FD" w14:textId="77777777" w:rsidR="00A950CD" w:rsidRDefault="00A950CD" w:rsidP="00A950CD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C5AAE72" wp14:editId="68D7AD86">
            <wp:extent cx="2046233" cy="967978"/>
            <wp:effectExtent l="0" t="0" r="0" b="3810"/>
            <wp:docPr id="1" name="Picture 1" descr="C:\Users\cwcallah\Dropbox\2015 FDA Regional Center Proposal\Project Folder\Logo and Branding\NECAFS Logo Color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callah\Dropbox\2015 FDA Regional Center Proposal\Project Folder\Logo and Branding\NECAFS Logo Color Wi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95" cy="98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C5AEE" w14:textId="5FAE2DAF" w:rsidR="00A63B24" w:rsidRDefault="00A63B24" w:rsidP="00A950CD">
      <w:pPr>
        <w:jc w:val="center"/>
        <w:rPr>
          <w:b/>
        </w:rPr>
      </w:pPr>
      <w:r w:rsidRPr="00A63B24">
        <w:rPr>
          <w:b/>
        </w:rPr>
        <w:t xml:space="preserve">NECAFS Training </w:t>
      </w:r>
      <w:r w:rsidR="00C21BB0">
        <w:rPr>
          <w:b/>
        </w:rPr>
        <w:t xml:space="preserve">Support </w:t>
      </w:r>
      <w:r w:rsidRPr="00A63B24">
        <w:rPr>
          <w:b/>
        </w:rPr>
        <w:t>Program</w:t>
      </w:r>
    </w:p>
    <w:p w14:paraId="381B6DD6" w14:textId="08BEA9C6" w:rsidR="00CB4196" w:rsidRDefault="00CB4196" w:rsidP="00A950CD">
      <w:pPr>
        <w:jc w:val="center"/>
        <w:rPr>
          <w:b/>
        </w:rPr>
      </w:pPr>
      <w:r>
        <w:rPr>
          <w:b/>
        </w:rPr>
        <w:t>(Trainer Development)</w:t>
      </w:r>
    </w:p>
    <w:p w14:paraId="1583C409" w14:textId="7B043C19" w:rsidR="00CB4196" w:rsidRDefault="00CB4196" w:rsidP="00CB4196">
      <w:pPr>
        <w:rPr>
          <w:b/>
        </w:rPr>
      </w:pPr>
    </w:p>
    <w:p w14:paraId="6C827913" w14:textId="546D670E" w:rsidR="00CB4196" w:rsidRPr="00CB4196" w:rsidRDefault="00CB4196" w:rsidP="00CB4196">
      <w:pPr>
        <w:rPr>
          <w:b/>
          <w:u w:val="single"/>
        </w:rPr>
      </w:pPr>
      <w:r>
        <w:rPr>
          <w:b/>
          <w:u w:val="single"/>
        </w:rPr>
        <w:t>Support for Trainer Development</w:t>
      </w:r>
    </w:p>
    <w:p w14:paraId="57DF05C2" w14:textId="4CBE7EC3" w:rsidR="006A67E5" w:rsidRDefault="00F65713">
      <w:pPr>
        <w:rPr>
          <w:sz w:val="20"/>
        </w:rPr>
      </w:pPr>
      <w:r w:rsidRPr="00A950CD">
        <w:rPr>
          <w:sz w:val="20"/>
        </w:rPr>
        <w:t>The Northeast Center to Advance Food Safety (NECAFS) will support the development of</w:t>
      </w:r>
      <w:r w:rsidR="00173C80">
        <w:rPr>
          <w:sz w:val="20"/>
        </w:rPr>
        <w:t xml:space="preserve"> Produce Safety Alliance </w:t>
      </w:r>
      <w:r w:rsidR="00E72CF7">
        <w:rPr>
          <w:sz w:val="20"/>
        </w:rPr>
        <w:t xml:space="preserve">(PSA) </w:t>
      </w:r>
      <w:r w:rsidR="00173C80">
        <w:rPr>
          <w:sz w:val="20"/>
        </w:rPr>
        <w:t>Trainers and Lead Trainers</w:t>
      </w:r>
      <w:r w:rsidRPr="00A950CD">
        <w:rPr>
          <w:sz w:val="20"/>
        </w:rPr>
        <w:t xml:space="preserve"> </w:t>
      </w:r>
      <w:r w:rsidR="006A67E5">
        <w:rPr>
          <w:sz w:val="20"/>
        </w:rPr>
        <w:t xml:space="preserve">and </w:t>
      </w:r>
      <w:r w:rsidR="00E72CF7">
        <w:rPr>
          <w:sz w:val="20"/>
        </w:rPr>
        <w:t xml:space="preserve">Food Safety </w:t>
      </w:r>
      <w:r w:rsidRPr="00A950CD">
        <w:rPr>
          <w:sz w:val="20"/>
        </w:rPr>
        <w:t xml:space="preserve">Preventive Controls </w:t>
      </w:r>
      <w:r w:rsidR="00E72CF7">
        <w:rPr>
          <w:sz w:val="20"/>
        </w:rPr>
        <w:t xml:space="preserve">Alliance </w:t>
      </w:r>
      <w:r w:rsidR="00A950CD" w:rsidRPr="00A950CD">
        <w:rPr>
          <w:sz w:val="20"/>
        </w:rPr>
        <w:t>(</w:t>
      </w:r>
      <w:r w:rsidR="00E72CF7">
        <w:rPr>
          <w:sz w:val="20"/>
        </w:rPr>
        <w:t>FS</w:t>
      </w:r>
      <w:r w:rsidR="00A950CD" w:rsidRPr="00A950CD">
        <w:rPr>
          <w:sz w:val="20"/>
        </w:rPr>
        <w:t>PC</w:t>
      </w:r>
      <w:r w:rsidR="00E72CF7">
        <w:rPr>
          <w:sz w:val="20"/>
        </w:rPr>
        <w:t>A</w:t>
      </w:r>
      <w:r w:rsidR="00A950CD" w:rsidRPr="00A950CD">
        <w:rPr>
          <w:sz w:val="20"/>
        </w:rPr>
        <w:t xml:space="preserve">) </w:t>
      </w:r>
      <w:r w:rsidR="00EA0C75">
        <w:rPr>
          <w:sz w:val="20"/>
        </w:rPr>
        <w:t xml:space="preserve">and Sprout Safety Alliance (SSA) </w:t>
      </w:r>
      <w:r w:rsidRPr="00A950CD">
        <w:rPr>
          <w:sz w:val="20"/>
        </w:rPr>
        <w:t>Lead Instructors (LI’s) in the region through travel and registration reimbursement. For the year ending December 31, 201</w:t>
      </w:r>
      <w:r w:rsidR="000741CD">
        <w:rPr>
          <w:sz w:val="20"/>
        </w:rPr>
        <w:t>8</w:t>
      </w:r>
      <w:bookmarkStart w:id="0" w:name="_GoBack"/>
      <w:bookmarkEnd w:id="0"/>
      <w:r w:rsidRPr="00A950CD">
        <w:rPr>
          <w:sz w:val="20"/>
        </w:rPr>
        <w:t xml:space="preserve"> we </w:t>
      </w:r>
      <w:r w:rsidR="00C01612">
        <w:rPr>
          <w:sz w:val="20"/>
        </w:rPr>
        <w:t xml:space="preserve">are offering </w:t>
      </w:r>
      <w:r w:rsidR="00AB7A81">
        <w:rPr>
          <w:sz w:val="20"/>
        </w:rPr>
        <w:t>up to $2</w:t>
      </w:r>
      <w:r w:rsidRPr="00A950CD">
        <w:rPr>
          <w:sz w:val="20"/>
        </w:rPr>
        <w:t xml:space="preserve">000 per </w:t>
      </w:r>
      <w:r w:rsidR="00E72CF7">
        <w:rPr>
          <w:sz w:val="20"/>
        </w:rPr>
        <w:t>person</w:t>
      </w:r>
      <w:r w:rsidRPr="00A950CD">
        <w:rPr>
          <w:sz w:val="20"/>
        </w:rPr>
        <w:t xml:space="preserve"> </w:t>
      </w:r>
      <w:r w:rsidR="00C01612">
        <w:rPr>
          <w:sz w:val="20"/>
        </w:rPr>
        <w:t xml:space="preserve">per training track </w:t>
      </w:r>
      <w:r w:rsidR="00A950CD">
        <w:rPr>
          <w:sz w:val="20"/>
        </w:rPr>
        <w:t xml:space="preserve">on a rolling basis </w:t>
      </w:r>
      <w:r w:rsidRPr="00A950CD">
        <w:rPr>
          <w:sz w:val="20"/>
        </w:rPr>
        <w:t>as reimbursement upon successful completion of</w:t>
      </w:r>
      <w:r w:rsidR="006A67E5">
        <w:rPr>
          <w:sz w:val="20"/>
        </w:rPr>
        <w:t>:</w:t>
      </w:r>
    </w:p>
    <w:p w14:paraId="357ED8DE" w14:textId="5FF9CC01" w:rsidR="006A67E5" w:rsidRDefault="006A67E5" w:rsidP="00E72CF7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</w:t>
      </w:r>
      <w:r w:rsidR="00173C80" w:rsidRPr="00E72CF7">
        <w:rPr>
          <w:sz w:val="20"/>
        </w:rPr>
        <w:t>he 2-day PSA Train-the-Trainer (TTT) Course</w:t>
      </w:r>
      <w:r w:rsidR="00E72CF7">
        <w:rPr>
          <w:sz w:val="20"/>
        </w:rPr>
        <w:t xml:space="preserve"> </w:t>
      </w:r>
      <w:r w:rsidR="00F65713" w:rsidRPr="00E72CF7">
        <w:rPr>
          <w:sz w:val="20"/>
        </w:rPr>
        <w:t>and</w:t>
      </w:r>
      <w:r w:rsidR="00E72CF7">
        <w:rPr>
          <w:sz w:val="20"/>
        </w:rPr>
        <w:t xml:space="preserve">/or </w:t>
      </w:r>
      <w:r w:rsidR="00173C80" w:rsidRPr="00E72CF7">
        <w:rPr>
          <w:sz w:val="20"/>
        </w:rPr>
        <w:t>PSA Lead Trainer Supplemental Application process (PSA TTT is required for PSA Lead Trainer eligibility)</w:t>
      </w:r>
      <w:r w:rsidR="00E72CF7">
        <w:rPr>
          <w:sz w:val="20"/>
        </w:rPr>
        <w:t>.</w:t>
      </w:r>
      <w:r w:rsidR="00F65713" w:rsidRPr="00E72CF7">
        <w:rPr>
          <w:sz w:val="20"/>
        </w:rPr>
        <w:t xml:space="preserve"> </w:t>
      </w:r>
    </w:p>
    <w:p w14:paraId="3C4652A5" w14:textId="77777777" w:rsidR="006A67E5" w:rsidRDefault="006A67E5" w:rsidP="00E72CF7">
      <w:pPr>
        <w:pStyle w:val="ListParagraph"/>
        <w:rPr>
          <w:sz w:val="20"/>
        </w:rPr>
      </w:pPr>
    </w:p>
    <w:p w14:paraId="1DD4D415" w14:textId="2945F453" w:rsidR="006A67E5" w:rsidRDefault="00E72CF7" w:rsidP="00E72CF7">
      <w:pPr>
        <w:pStyle w:val="ListParagraph"/>
        <w:rPr>
          <w:sz w:val="20"/>
        </w:rPr>
      </w:pPr>
      <w:r>
        <w:rPr>
          <w:sz w:val="20"/>
        </w:rPr>
        <w:t>and/</w:t>
      </w:r>
      <w:r w:rsidR="006A67E5">
        <w:rPr>
          <w:sz w:val="20"/>
        </w:rPr>
        <w:t>or</w:t>
      </w:r>
    </w:p>
    <w:p w14:paraId="7524AD31" w14:textId="77777777" w:rsidR="006A67E5" w:rsidRDefault="006A67E5" w:rsidP="00E72CF7">
      <w:pPr>
        <w:pStyle w:val="ListParagraph"/>
        <w:rPr>
          <w:sz w:val="20"/>
        </w:rPr>
      </w:pPr>
    </w:p>
    <w:p w14:paraId="5C63BF58" w14:textId="6C8FCAFA" w:rsidR="003E00FF" w:rsidRDefault="00E72CF7" w:rsidP="003E00F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The FSPCA Qualified Individual (QI) in combination with the FSPCA Lead Instructor (LI) training. </w:t>
      </w:r>
      <w:r w:rsidRPr="00E72CF7">
        <w:rPr>
          <w:sz w:val="20"/>
        </w:rPr>
        <w:t>(</w:t>
      </w:r>
      <w:r>
        <w:rPr>
          <w:sz w:val="20"/>
        </w:rPr>
        <w:t xml:space="preserve">FSPCA </w:t>
      </w:r>
      <w:r w:rsidRPr="00E72CF7">
        <w:rPr>
          <w:sz w:val="20"/>
        </w:rPr>
        <w:t xml:space="preserve">QI is required for </w:t>
      </w:r>
      <w:r>
        <w:rPr>
          <w:sz w:val="20"/>
        </w:rPr>
        <w:t xml:space="preserve">FSPCA </w:t>
      </w:r>
      <w:r w:rsidRPr="00E72CF7">
        <w:rPr>
          <w:sz w:val="20"/>
        </w:rPr>
        <w:t>L</w:t>
      </w:r>
      <w:r>
        <w:rPr>
          <w:sz w:val="20"/>
        </w:rPr>
        <w:t xml:space="preserve">ead Instructor </w:t>
      </w:r>
      <w:r w:rsidRPr="00E72CF7">
        <w:rPr>
          <w:sz w:val="20"/>
        </w:rPr>
        <w:t>eligibility).</w:t>
      </w:r>
    </w:p>
    <w:p w14:paraId="2F1FA951" w14:textId="307007CE" w:rsidR="00BD3D0D" w:rsidRDefault="00EA0C75" w:rsidP="004943BA">
      <w:pPr>
        <w:ind w:left="720"/>
        <w:rPr>
          <w:sz w:val="20"/>
        </w:rPr>
      </w:pPr>
      <w:r>
        <w:rPr>
          <w:sz w:val="20"/>
        </w:rPr>
        <w:t>a</w:t>
      </w:r>
      <w:r w:rsidR="00BD3D0D">
        <w:rPr>
          <w:sz w:val="20"/>
        </w:rPr>
        <w:t>nd/or</w:t>
      </w:r>
    </w:p>
    <w:p w14:paraId="3D818D59" w14:textId="28CF37E1" w:rsidR="00BD3D0D" w:rsidRDefault="00BD3D0D" w:rsidP="00BD3D0D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The 3-day SSA </w:t>
      </w:r>
      <w:r w:rsidRPr="00BD3D0D">
        <w:rPr>
          <w:sz w:val="20"/>
        </w:rPr>
        <w:t>Train-the-Trainer (TTT) Course</w:t>
      </w:r>
      <w:r>
        <w:rPr>
          <w:sz w:val="20"/>
        </w:rPr>
        <w:t xml:space="preserve"> or </w:t>
      </w:r>
      <w:proofErr w:type="spellStart"/>
      <w:r>
        <w:rPr>
          <w:sz w:val="20"/>
        </w:rPr>
        <w:t>Sprouter</w:t>
      </w:r>
      <w:proofErr w:type="spellEnd"/>
      <w:r>
        <w:rPr>
          <w:sz w:val="20"/>
        </w:rPr>
        <w:t xml:space="preserve"> Training + </w:t>
      </w:r>
      <w:r w:rsidRPr="00BD3D0D">
        <w:rPr>
          <w:sz w:val="20"/>
        </w:rPr>
        <w:t xml:space="preserve">Train-the-Trainer (TTT) </w:t>
      </w:r>
      <w:r>
        <w:rPr>
          <w:sz w:val="20"/>
        </w:rPr>
        <w:t xml:space="preserve">Combo </w:t>
      </w:r>
      <w:r w:rsidRPr="00BD3D0D">
        <w:rPr>
          <w:sz w:val="20"/>
        </w:rPr>
        <w:t>Course</w:t>
      </w:r>
      <w:r>
        <w:rPr>
          <w:sz w:val="20"/>
        </w:rPr>
        <w:t>.  (S</w:t>
      </w:r>
      <w:r w:rsidRPr="00E72CF7">
        <w:rPr>
          <w:sz w:val="20"/>
        </w:rPr>
        <w:t xml:space="preserve">SA TTT is required for </w:t>
      </w:r>
      <w:r>
        <w:rPr>
          <w:sz w:val="20"/>
        </w:rPr>
        <w:t>S</w:t>
      </w:r>
      <w:r w:rsidRPr="00E72CF7">
        <w:rPr>
          <w:sz w:val="20"/>
        </w:rPr>
        <w:t xml:space="preserve">SA Lead </w:t>
      </w:r>
      <w:r>
        <w:rPr>
          <w:sz w:val="20"/>
        </w:rPr>
        <w:t>Instructor</w:t>
      </w:r>
      <w:r w:rsidRPr="00E72CF7">
        <w:rPr>
          <w:sz w:val="20"/>
        </w:rPr>
        <w:t xml:space="preserve"> eligibility)</w:t>
      </w:r>
      <w:r>
        <w:rPr>
          <w:sz w:val="20"/>
        </w:rPr>
        <w:t>.</w:t>
      </w:r>
      <w:r w:rsidRPr="00E72CF7">
        <w:rPr>
          <w:sz w:val="20"/>
        </w:rPr>
        <w:t xml:space="preserve"> </w:t>
      </w:r>
    </w:p>
    <w:p w14:paraId="1E8C7AD4" w14:textId="2E116782" w:rsidR="00BD3D0D" w:rsidRPr="004943BA" w:rsidRDefault="00BD3D0D" w:rsidP="004943BA">
      <w:pPr>
        <w:pStyle w:val="ListParagraph"/>
        <w:rPr>
          <w:sz w:val="20"/>
        </w:rPr>
      </w:pPr>
    </w:p>
    <w:p w14:paraId="02AF5754" w14:textId="3FE2AC14" w:rsidR="003E00FF" w:rsidRDefault="003E00FF" w:rsidP="0052619E">
      <w:pPr>
        <w:jc w:val="center"/>
        <w:rPr>
          <w:sz w:val="20"/>
        </w:rPr>
      </w:pPr>
      <w:r>
        <w:rPr>
          <w:sz w:val="20"/>
        </w:rPr>
        <w:t xml:space="preserve">FSMA Related Food Safety Training </w:t>
      </w:r>
      <w:r w:rsidR="00EC36AE">
        <w:rPr>
          <w:sz w:val="20"/>
        </w:rPr>
        <w:t>Categories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1798"/>
        <w:gridCol w:w="1800"/>
        <w:gridCol w:w="2070"/>
      </w:tblGrid>
      <w:tr w:rsidR="003E00FF" w:rsidRPr="00F9052C" w14:paraId="6C400AAD" w14:textId="77777777" w:rsidTr="0052619E">
        <w:trPr>
          <w:jc w:val="center"/>
        </w:trPr>
        <w:tc>
          <w:tcPr>
            <w:tcW w:w="2517" w:type="dxa"/>
          </w:tcPr>
          <w:p w14:paraId="5B478B1C" w14:textId="445AE35F" w:rsidR="003E00FF" w:rsidRPr="0052619E" w:rsidRDefault="00C01612" w:rsidP="009F1CF6">
            <w:pPr>
              <w:rPr>
                <w:b/>
                <w:sz w:val="14"/>
              </w:rPr>
            </w:pPr>
            <w:r w:rsidRPr="0052619E">
              <w:rPr>
                <w:b/>
                <w:sz w:val="14"/>
              </w:rPr>
              <w:t>Training Track</w:t>
            </w:r>
          </w:p>
        </w:tc>
        <w:tc>
          <w:tcPr>
            <w:tcW w:w="1798" w:type="dxa"/>
          </w:tcPr>
          <w:p w14:paraId="62B090EE" w14:textId="5015D420" w:rsidR="003E00FF" w:rsidRPr="0052619E" w:rsidRDefault="003E00FF" w:rsidP="003E00FF">
            <w:pPr>
              <w:jc w:val="center"/>
              <w:rPr>
                <w:b/>
                <w:sz w:val="14"/>
              </w:rPr>
            </w:pPr>
            <w:r w:rsidRPr="0052619E">
              <w:rPr>
                <w:b/>
                <w:sz w:val="14"/>
              </w:rPr>
              <w:t xml:space="preserve">Trained as a </w:t>
            </w:r>
            <w:r w:rsidRPr="0052619E">
              <w:rPr>
                <w:b/>
                <w:sz w:val="14"/>
              </w:rPr>
              <w:br/>
              <w:t xml:space="preserve">Practitioner </w:t>
            </w:r>
          </w:p>
        </w:tc>
        <w:tc>
          <w:tcPr>
            <w:tcW w:w="1800" w:type="dxa"/>
          </w:tcPr>
          <w:p w14:paraId="2AB4D98C" w14:textId="7077BB25" w:rsidR="003E00FF" w:rsidRPr="0052619E" w:rsidRDefault="003E00FF" w:rsidP="003E00FF">
            <w:pPr>
              <w:jc w:val="center"/>
              <w:rPr>
                <w:b/>
                <w:sz w:val="14"/>
              </w:rPr>
            </w:pPr>
            <w:r w:rsidRPr="0052619E">
              <w:rPr>
                <w:b/>
                <w:sz w:val="14"/>
              </w:rPr>
              <w:t xml:space="preserve">Trained to </w:t>
            </w:r>
            <w:r w:rsidRPr="0052619E">
              <w:rPr>
                <w:b/>
                <w:sz w:val="14"/>
              </w:rPr>
              <w:br/>
              <w:t>Instruct Practitioners</w:t>
            </w:r>
          </w:p>
        </w:tc>
        <w:tc>
          <w:tcPr>
            <w:tcW w:w="2070" w:type="dxa"/>
          </w:tcPr>
          <w:p w14:paraId="770A9697" w14:textId="2E3A2446" w:rsidR="003E00FF" w:rsidRPr="0052619E" w:rsidRDefault="003E00FF" w:rsidP="003E00FF">
            <w:pPr>
              <w:jc w:val="center"/>
              <w:rPr>
                <w:b/>
                <w:sz w:val="14"/>
              </w:rPr>
            </w:pPr>
            <w:r w:rsidRPr="0052619E">
              <w:rPr>
                <w:b/>
                <w:sz w:val="14"/>
              </w:rPr>
              <w:t xml:space="preserve">Trained to Train Other </w:t>
            </w:r>
            <w:r w:rsidRPr="0052619E">
              <w:rPr>
                <w:b/>
                <w:sz w:val="14"/>
              </w:rPr>
              <w:br/>
              <w:t>Instructors of Practitioners</w:t>
            </w:r>
          </w:p>
        </w:tc>
      </w:tr>
      <w:tr w:rsidR="003E00FF" w:rsidRPr="009F1CF6" w14:paraId="224914AD" w14:textId="77777777" w:rsidTr="0052619E">
        <w:trPr>
          <w:jc w:val="center"/>
        </w:trPr>
        <w:tc>
          <w:tcPr>
            <w:tcW w:w="2517" w:type="dxa"/>
          </w:tcPr>
          <w:p w14:paraId="1560F0DD" w14:textId="77777777" w:rsidR="003E00FF" w:rsidRDefault="003E00FF" w:rsidP="003E00FF">
            <w:pPr>
              <w:rPr>
                <w:sz w:val="14"/>
              </w:rPr>
            </w:pPr>
            <w:r w:rsidRPr="009F1CF6">
              <w:rPr>
                <w:sz w:val="14"/>
              </w:rPr>
              <w:t>Produce Safety Rule</w:t>
            </w:r>
          </w:p>
          <w:p w14:paraId="6FE6775F" w14:textId="7401705A" w:rsidR="003E00FF" w:rsidRPr="003E00FF" w:rsidRDefault="00EC36AE" w:rsidP="003E00FF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Training Coordinated by the </w:t>
            </w:r>
            <w:r w:rsidR="003E00FF" w:rsidRPr="003E00FF">
              <w:rPr>
                <w:i/>
                <w:sz w:val="14"/>
              </w:rPr>
              <w:t>Produce Safety Alliance (PSA)</w:t>
            </w:r>
          </w:p>
        </w:tc>
        <w:tc>
          <w:tcPr>
            <w:tcW w:w="1798" w:type="dxa"/>
          </w:tcPr>
          <w:p w14:paraId="777E6055" w14:textId="1DFB2CAD" w:rsidR="003E00FF" w:rsidRPr="009F1CF6" w:rsidRDefault="00F9052C" w:rsidP="00F9052C">
            <w:pPr>
              <w:jc w:val="center"/>
              <w:rPr>
                <w:sz w:val="14"/>
              </w:rPr>
            </w:pPr>
            <w:r>
              <w:rPr>
                <w:sz w:val="14"/>
              </w:rPr>
              <w:t>PSA Trained Grower</w:t>
            </w:r>
          </w:p>
        </w:tc>
        <w:tc>
          <w:tcPr>
            <w:tcW w:w="1800" w:type="dxa"/>
          </w:tcPr>
          <w:p w14:paraId="776892B3" w14:textId="6FCF2C1B" w:rsidR="007A7DB9" w:rsidRDefault="007A7DB9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>PSA Lead Trainer (LT, needed to run a training)</w:t>
            </w:r>
          </w:p>
          <w:p w14:paraId="79DC0190" w14:textId="77777777" w:rsidR="007A7DB9" w:rsidRDefault="007A7DB9" w:rsidP="003E00FF">
            <w:pPr>
              <w:jc w:val="center"/>
              <w:rPr>
                <w:sz w:val="14"/>
              </w:rPr>
            </w:pPr>
          </w:p>
          <w:p w14:paraId="73195B93" w14:textId="77777777" w:rsidR="003E00FF" w:rsidRDefault="007A7DB9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&amp; </w:t>
            </w:r>
            <w:r w:rsidR="003E00FF">
              <w:rPr>
                <w:sz w:val="14"/>
              </w:rPr>
              <w:t>PSA Trainer</w:t>
            </w:r>
          </w:p>
          <w:p w14:paraId="4642A194" w14:textId="0834F7F6" w:rsidR="007A7DB9" w:rsidRPr="009F1CF6" w:rsidRDefault="007A7DB9" w:rsidP="003E00FF">
            <w:pPr>
              <w:jc w:val="center"/>
              <w:rPr>
                <w:sz w:val="14"/>
              </w:rPr>
            </w:pPr>
          </w:p>
        </w:tc>
        <w:tc>
          <w:tcPr>
            <w:tcW w:w="2070" w:type="dxa"/>
          </w:tcPr>
          <w:p w14:paraId="053D789F" w14:textId="0B4A5AC0" w:rsidR="003E00FF" w:rsidRPr="009F1CF6" w:rsidRDefault="007A7DB9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>Trainer of Trainers (</w:t>
            </w:r>
            <w:proofErr w:type="spellStart"/>
            <w:r>
              <w:rPr>
                <w:sz w:val="14"/>
              </w:rPr>
              <w:t>ToT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3E00FF" w:rsidRPr="009F1CF6" w14:paraId="5CFE7CAA" w14:textId="77777777" w:rsidTr="0052619E">
        <w:trPr>
          <w:jc w:val="center"/>
        </w:trPr>
        <w:tc>
          <w:tcPr>
            <w:tcW w:w="2517" w:type="dxa"/>
          </w:tcPr>
          <w:p w14:paraId="75126904" w14:textId="77777777" w:rsidR="003E00FF" w:rsidRDefault="003E00FF" w:rsidP="003E00FF">
            <w:pPr>
              <w:rPr>
                <w:sz w:val="14"/>
              </w:rPr>
            </w:pPr>
            <w:r w:rsidRPr="009F1CF6">
              <w:rPr>
                <w:sz w:val="14"/>
              </w:rPr>
              <w:t>Preventive Controls Rule</w:t>
            </w:r>
          </w:p>
          <w:p w14:paraId="259A6E82" w14:textId="77777777" w:rsidR="003E00FF" w:rsidRDefault="00EC36AE" w:rsidP="003E00FF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Training Coordinated by the </w:t>
            </w:r>
            <w:r w:rsidR="003E00FF" w:rsidRPr="003E00FF">
              <w:rPr>
                <w:i/>
                <w:sz w:val="14"/>
              </w:rPr>
              <w:t>Food Safety Preventive Controls Alliance (FSPCA)</w:t>
            </w:r>
          </w:p>
          <w:p w14:paraId="7CACB7A0" w14:textId="2EDB13FC" w:rsidR="007A7DB9" w:rsidRPr="003E00FF" w:rsidRDefault="007A7DB9" w:rsidP="003E00FF">
            <w:pPr>
              <w:rPr>
                <w:i/>
                <w:sz w:val="14"/>
              </w:rPr>
            </w:pPr>
          </w:p>
        </w:tc>
        <w:tc>
          <w:tcPr>
            <w:tcW w:w="1798" w:type="dxa"/>
          </w:tcPr>
          <w:p w14:paraId="090D6E23" w14:textId="2481E291" w:rsidR="003E00FF" w:rsidRPr="009F1CF6" w:rsidRDefault="003E00FF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>Qualified Individual (QI)</w:t>
            </w:r>
          </w:p>
        </w:tc>
        <w:tc>
          <w:tcPr>
            <w:tcW w:w="1800" w:type="dxa"/>
          </w:tcPr>
          <w:p w14:paraId="6346F5AD" w14:textId="6363DBD0" w:rsidR="003E00FF" w:rsidRPr="009F1CF6" w:rsidRDefault="003E00FF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>Lead Instructor (LI)</w:t>
            </w:r>
          </w:p>
        </w:tc>
        <w:tc>
          <w:tcPr>
            <w:tcW w:w="2070" w:type="dxa"/>
          </w:tcPr>
          <w:p w14:paraId="344BDA32" w14:textId="34997644" w:rsidR="003E00FF" w:rsidRPr="009F1CF6" w:rsidRDefault="003E00FF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>Trainer of Trainers (</w:t>
            </w:r>
            <w:proofErr w:type="spellStart"/>
            <w:r>
              <w:rPr>
                <w:sz w:val="14"/>
              </w:rPr>
              <w:t>ToT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BD3D0D" w:rsidRPr="009F1CF6" w14:paraId="21D566B4" w14:textId="77777777" w:rsidTr="0052619E">
        <w:trPr>
          <w:jc w:val="center"/>
        </w:trPr>
        <w:tc>
          <w:tcPr>
            <w:tcW w:w="2517" w:type="dxa"/>
          </w:tcPr>
          <w:p w14:paraId="289E59DD" w14:textId="77604DEA" w:rsidR="00BD3D0D" w:rsidRDefault="00BD3D0D" w:rsidP="0079768E">
            <w:pPr>
              <w:rPr>
                <w:sz w:val="14"/>
              </w:rPr>
            </w:pPr>
            <w:r>
              <w:rPr>
                <w:sz w:val="14"/>
              </w:rPr>
              <w:t>Sprout</w:t>
            </w:r>
            <w:r w:rsidRPr="009F1CF6">
              <w:rPr>
                <w:sz w:val="14"/>
              </w:rPr>
              <w:t xml:space="preserve"> Safety Rule</w:t>
            </w:r>
          </w:p>
          <w:p w14:paraId="6424339D" w14:textId="4A6571EB" w:rsidR="00BD3D0D" w:rsidRPr="009F1CF6" w:rsidRDefault="00BD3D0D" w:rsidP="00BD3D0D">
            <w:pPr>
              <w:rPr>
                <w:sz w:val="14"/>
              </w:rPr>
            </w:pPr>
            <w:r>
              <w:rPr>
                <w:i/>
                <w:sz w:val="14"/>
              </w:rPr>
              <w:t>Training Coordinated by the Sprout Safety Alliance (S</w:t>
            </w:r>
            <w:r w:rsidRPr="003E00FF">
              <w:rPr>
                <w:i/>
                <w:sz w:val="14"/>
              </w:rPr>
              <w:t>SA)</w:t>
            </w:r>
          </w:p>
        </w:tc>
        <w:tc>
          <w:tcPr>
            <w:tcW w:w="1798" w:type="dxa"/>
          </w:tcPr>
          <w:p w14:paraId="5BDD00E6" w14:textId="392FBCCC" w:rsidR="00BD3D0D" w:rsidRDefault="00BD3D0D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>SSA Trained Grower</w:t>
            </w:r>
          </w:p>
        </w:tc>
        <w:tc>
          <w:tcPr>
            <w:tcW w:w="1800" w:type="dxa"/>
          </w:tcPr>
          <w:p w14:paraId="42F7FB11" w14:textId="11C9129B" w:rsidR="00BD3D0D" w:rsidRDefault="00BD3D0D" w:rsidP="0079768E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SSA Lead Instructor (LI, needed to run a SSA </w:t>
            </w:r>
            <w:proofErr w:type="spellStart"/>
            <w:r>
              <w:rPr>
                <w:sz w:val="14"/>
              </w:rPr>
              <w:t>sprouter</w:t>
            </w:r>
            <w:proofErr w:type="spellEnd"/>
            <w:r>
              <w:rPr>
                <w:sz w:val="14"/>
              </w:rPr>
              <w:t xml:space="preserve"> training)</w:t>
            </w:r>
          </w:p>
          <w:p w14:paraId="3E67959D" w14:textId="77777777" w:rsidR="00BD3D0D" w:rsidRDefault="00BD3D0D" w:rsidP="0079768E">
            <w:pPr>
              <w:jc w:val="center"/>
              <w:rPr>
                <w:sz w:val="14"/>
              </w:rPr>
            </w:pPr>
          </w:p>
          <w:p w14:paraId="487862DA" w14:textId="77777777" w:rsidR="00BD3D0D" w:rsidRDefault="00BD3D0D" w:rsidP="00BD3D0D">
            <w:pPr>
              <w:jc w:val="center"/>
              <w:rPr>
                <w:sz w:val="14"/>
              </w:rPr>
            </w:pPr>
          </w:p>
        </w:tc>
        <w:tc>
          <w:tcPr>
            <w:tcW w:w="2070" w:type="dxa"/>
          </w:tcPr>
          <w:p w14:paraId="4D75233B" w14:textId="025BD025" w:rsidR="00BD3D0D" w:rsidRDefault="00BD3D0D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>Trainer of Trainers (</w:t>
            </w:r>
            <w:proofErr w:type="spellStart"/>
            <w:r>
              <w:rPr>
                <w:sz w:val="14"/>
              </w:rPr>
              <w:t>ToT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7A7DB9" w:rsidRPr="009F1CF6" w14:paraId="49E4DA00" w14:textId="77777777" w:rsidTr="00A57D31">
        <w:trPr>
          <w:jc w:val="center"/>
        </w:trPr>
        <w:tc>
          <w:tcPr>
            <w:tcW w:w="2517" w:type="dxa"/>
          </w:tcPr>
          <w:p w14:paraId="73CB1BDB" w14:textId="77777777" w:rsidR="007A7DB9" w:rsidRPr="009F1CF6" w:rsidRDefault="007A7DB9" w:rsidP="003E00FF">
            <w:pPr>
              <w:rPr>
                <w:sz w:val="14"/>
              </w:rPr>
            </w:pPr>
          </w:p>
        </w:tc>
        <w:tc>
          <w:tcPr>
            <w:tcW w:w="1798" w:type="dxa"/>
          </w:tcPr>
          <w:p w14:paraId="51F89E10" w14:textId="77777777" w:rsidR="007A7DB9" w:rsidRDefault="007A7DB9" w:rsidP="003E00FF">
            <w:pPr>
              <w:jc w:val="center"/>
              <w:rPr>
                <w:sz w:val="14"/>
              </w:rPr>
            </w:pPr>
          </w:p>
        </w:tc>
        <w:tc>
          <w:tcPr>
            <w:tcW w:w="3870" w:type="dxa"/>
            <w:gridSpan w:val="2"/>
          </w:tcPr>
          <w:p w14:paraId="5C6FCD87" w14:textId="77777777" w:rsidR="007A7DB9" w:rsidRDefault="007A7DB9" w:rsidP="003E00FF">
            <w:pPr>
              <w:jc w:val="center"/>
              <w:rPr>
                <w:sz w:val="14"/>
              </w:rPr>
            </w:pPr>
          </w:p>
          <w:p w14:paraId="752890C6" w14:textId="7715038E" w:rsidR="007A7DB9" w:rsidRDefault="007A7DB9" w:rsidP="003E00FF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NECAFS will support </w:t>
            </w:r>
            <w:r w:rsidR="004943BA">
              <w:rPr>
                <w:sz w:val="14"/>
              </w:rPr>
              <w:t xml:space="preserve">one, two or all </w:t>
            </w:r>
            <w:r>
              <w:rPr>
                <w:sz w:val="14"/>
              </w:rPr>
              <w:t>of these</w:t>
            </w:r>
          </w:p>
          <w:p w14:paraId="7F53B8C8" w14:textId="482CAE53" w:rsidR="007A7DB9" w:rsidRDefault="007A7DB9" w:rsidP="003E00FF">
            <w:pPr>
              <w:jc w:val="center"/>
              <w:rPr>
                <w:sz w:val="14"/>
              </w:rPr>
            </w:pPr>
          </w:p>
        </w:tc>
      </w:tr>
    </w:tbl>
    <w:p w14:paraId="4FD7A9EC" w14:textId="77777777" w:rsidR="00EC36AE" w:rsidRDefault="00EC36AE" w:rsidP="006A67E5">
      <w:pPr>
        <w:rPr>
          <w:sz w:val="20"/>
        </w:rPr>
      </w:pPr>
    </w:p>
    <w:p w14:paraId="448913C2" w14:textId="24ADEE6C" w:rsidR="00F65713" w:rsidRPr="00E72CF7" w:rsidRDefault="00A63B24" w:rsidP="006A67E5">
      <w:pPr>
        <w:rPr>
          <w:sz w:val="20"/>
        </w:rPr>
      </w:pPr>
      <w:r w:rsidRPr="00E72CF7">
        <w:rPr>
          <w:sz w:val="20"/>
        </w:rPr>
        <w:t xml:space="preserve">Exceptions to this reimbursement cap will be considered on a case by case basis based on need, extenuating circumstances and potential benefit to historically hard to reach audiences. </w:t>
      </w:r>
      <w:r w:rsidR="00E72CF7">
        <w:rPr>
          <w:sz w:val="20"/>
        </w:rPr>
        <w:t xml:space="preserve">An individual can apply for funding support in </w:t>
      </w:r>
      <w:r w:rsidR="00EA0C75">
        <w:rPr>
          <w:sz w:val="20"/>
        </w:rPr>
        <w:t xml:space="preserve">three </w:t>
      </w:r>
      <w:r w:rsidR="00E72CF7">
        <w:rPr>
          <w:sz w:val="20"/>
        </w:rPr>
        <w:t>areas of training (PSA</w:t>
      </w:r>
      <w:r w:rsidR="00EA0C75">
        <w:rPr>
          <w:sz w:val="20"/>
        </w:rPr>
        <w:t xml:space="preserve">, </w:t>
      </w:r>
      <w:r w:rsidR="00E72CF7">
        <w:rPr>
          <w:sz w:val="20"/>
        </w:rPr>
        <w:t>FSPCA</w:t>
      </w:r>
      <w:r w:rsidR="00EA0C75">
        <w:rPr>
          <w:sz w:val="20"/>
        </w:rPr>
        <w:t xml:space="preserve"> and SSA</w:t>
      </w:r>
      <w:r w:rsidR="00E72CF7">
        <w:rPr>
          <w:sz w:val="20"/>
        </w:rPr>
        <w:t xml:space="preserve">) if their role involves training in </w:t>
      </w:r>
      <w:r w:rsidR="00EA0C75">
        <w:rPr>
          <w:sz w:val="20"/>
        </w:rPr>
        <w:t xml:space="preserve">these </w:t>
      </w:r>
      <w:r w:rsidR="00E72CF7">
        <w:rPr>
          <w:sz w:val="20"/>
        </w:rPr>
        <w:t>areas.</w:t>
      </w:r>
    </w:p>
    <w:p w14:paraId="59C7D543" w14:textId="77777777" w:rsidR="00F65713" w:rsidRPr="00A950CD" w:rsidRDefault="00F65713">
      <w:pPr>
        <w:rPr>
          <w:sz w:val="20"/>
        </w:rPr>
      </w:pPr>
      <w:r w:rsidRPr="00A950CD">
        <w:rPr>
          <w:sz w:val="20"/>
        </w:rPr>
        <w:t>Eligibility</w:t>
      </w:r>
    </w:p>
    <w:p w14:paraId="624D58BC" w14:textId="3FFD66B2" w:rsidR="00F65713" w:rsidRDefault="00F65713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lastRenderedPageBreak/>
        <w:t xml:space="preserve">Actively engaged in </w:t>
      </w:r>
      <w:r w:rsidR="00173C80">
        <w:rPr>
          <w:sz w:val="20"/>
        </w:rPr>
        <w:t xml:space="preserve">FSMA </w:t>
      </w:r>
      <w:r w:rsidR="00E72CF7">
        <w:rPr>
          <w:sz w:val="20"/>
        </w:rPr>
        <w:t xml:space="preserve">Preventive Controls Rule, </w:t>
      </w:r>
      <w:r w:rsidRPr="00A950CD">
        <w:rPr>
          <w:sz w:val="20"/>
        </w:rPr>
        <w:t>P</w:t>
      </w:r>
      <w:r w:rsidR="00173C80">
        <w:rPr>
          <w:sz w:val="20"/>
        </w:rPr>
        <w:t xml:space="preserve">roduce Safety Rule or Good Agricultural Practices (GAPs) </w:t>
      </w:r>
      <w:r w:rsidRPr="00A950CD">
        <w:rPr>
          <w:sz w:val="20"/>
        </w:rPr>
        <w:t xml:space="preserve">related training and education in </w:t>
      </w:r>
      <w:r w:rsidR="00CD1587" w:rsidRPr="00A950CD">
        <w:rPr>
          <w:sz w:val="20"/>
        </w:rPr>
        <w:t xml:space="preserve">an </w:t>
      </w:r>
      <w:r w:rsidRPr="00A950CD">
        <w:rPr>
          <w:sz w:val="20"/>
        </w:rPr>
        <w:t>academic, extension or other public sector organization or affiliate.</w:t>
      </w:r>
    </w:p>
    <w:p w14:paraId="44747BFB" w14:textId="02733C6E" w:rsidR="00E72CF7" w:rsidRDefault="00E72CF7" w:rsidP="00CD158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In the case of FSPCA LI training, applicants must be a</w:t>
      </w:r>
      <w:r w:rsidR="00F65713" w:rsidRPr="00A950CD">
        <w:rPr>
          <w:sz w:val="20"/>
        </w:rPr>
        <w:t>pproved by FSPCA to attend an LI training course.</w:t>
      </w:r>
    </w:p>
    <w:p w14:paraId="4C5205A1" w14:textId="69DB8EDD" w:rsidR="00F65713" w:rsidRPr="00A950CD" w:rsidRDefault="00E72CF7" w:rsidP="00CD158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In the case of the PSA </w:t>
      </w:r>
      <w:r w:rsidR="00BD3D0D">
        <w:rPr>
          <w:sz w:val="20"/>
        </w:rPr>
        <w:t xml:space="preserve">or SSA </w:t>
      </w:r>
      <w:r>
        <w:rPr>
          <w:sz w:val="20"/>
        </w:rPr>
        <w:t xml:space="preserve">Train the Trainer training, there is no prequalification required.  </w:t>
      </w:r>
    </w:p>
    <w:p w14:paraId="01AEC975" w14:textId="77777777" w:rsidR="00A63B24" w:rsidRPr="00A950CD" w:rsidRDefault="00A63B24" w:rsidP="00F65713">
      <w:pPr>
        <w:rPr>
          <w:sz w:val="20"/>
        </w:rPr>
      </w:pPr>
      <w:r w:rsidRPr="00A950CD">
        <w:rPr>
          <w:sz w:val="20"/>
        </w:rPr>
        <w:t>Courses</w:t>
      </w:r>
    </w:p>
    <w:p w14:paraId="29734A6C" w14:textId="627FFB55" w:rsidR="000A0CBF" w:rsidRPr="0052619E" w:rsidRDefault="002D79FD" w:rsidP="003E00FF">
      <w:pPr>
        <w:pStyle w:val="ListParagraph"/>
        <w:numPr>
          <w:ilvl w:val="0"/>
          <w:numId w:val="1"/>
        </w:numPr>
        <w:rPr>
          <w:rStyle w:val="Hyperlink"/>
          <w:color w:val="000000" w:themeColor="text1"/>
          <w:sz w:val="20"/>
        </w:rPr>
      </w:pPr>
      <w:r w:rsidRPr="0052619E">
        <w:rPr>
          <w:color w:val="000000" w:themeColor="text1"/>
          <w:sz w:val="20"/>
        </w:rPr>
        <w:t xml:space="preserve">Preventive Controls - </w:t>
      </w:r>
      <w:r w:rsidR="00A63B24" w:rsidRPr="0052619E">
        <w:rPr>
          <w:color w:val="000000" w:themeColor="text1"/>
          <w:sz w:val="20"/>
        </w:rPr>
        <w:t xml:space="preserve">The FSPCA maintains a </w:t>
      </w:r>
      <w:r w:rsidR="00CD1587" w:rsidRPr="0052619E">
        <w:rPr>
          <w:color w:val="000000" w:themeColor="text1"/>
          <w:sz w:val="20"/>
        </w:rPr>
        <w:t xml:space="preserve">website with information on training requirements and a </w:t>
      </w:r>
      <w:r w:rsidR="00A63B24" w:rsidRPr="0052619E">
        <w:rPr>
          <w:color w:val="000000" w:themeColor="text1"/>
          <w:sz w:val="20"/>
        </w:rPr>
        <w:t xml:space="preserve">list of available </w:t>
      </w:r>
      <w:r w:rsidR="000A0CBF" w:rsidRPr="0052619E">
        <w:rPr>
          <w:color w:val="000000" w:themeColor="text1"/>
          <w:sz w:val="20"/>
        </w:rPr>
        <w:t xml:space="preserve">QI </w:t>
      </w:r>
      <w:r w:rsidR="00A63B24" w:rsidRPr="0052619E">
        <w:rPr>
          <w:color w:val="000000" w:themeColor="text1"/>
          <w:sz w:val="20"/>
        </w:rPr>
        <w:t>courses</w:t>
      </w:r>
      <w:r w:rsidR="00DA09E5" w:rsidRPr="0052619E">
        <w:rPr>
          <w:color w:val="000000" w:themeColor="text1"/>
          <w:sz w:val="20"/>
        </w:rPr>
        <w:t xml:space="preserve"> and more information on becoming an LI</w:t>
      </w:r>
      <w:r w:rsidR="00A63B24" w:rsidRPr="00A94FAA">
        <w:rPr>
          <w:color w:val="000000" w:themeColor="text1"/>
          <w:sz w:val="20"/>
          <w:szCs w:val="20"/>
        </w:rPr>
        <w:t xml:space="preserve">: </w:t>
      </w:r>
      <w:hyperlink r:id="rId8" w:history="1">
        <w:r w:rsidR="00AA3050" w:rsidRPr="00A94FAA">
          <w:rPr>
            <w:rStyle w:val="Hyperlink"/>
            <w:rFonts w:ascii="Calibri" w:hAnsi="Calibri" w:cs="Calibri"/>
            <w:sz w:val="20"/>
            <w:szCs w:val="20"/>
          </w:rPr>
          <w:t>https://www.ifsh.iit.edu/fspca</w:t>
        </w:r>
      </w:hyperlink>
      <w:r w:rsidR="00AA3050">
        <w:rPr>
          <w:rFonts w:ascii="Calibri" w:hAnsi="Calibri" w:cs="Calibri"/>
          <w:color w:val="1F497D"/>
        </w:rPr>
        <w:t>.</w:t>
      </w:r>
    </w:p>
    <w:p w14:paraId="4A34E8EA" w14:textId="59BCC091" w:rsidR="002D79FD" w:rsidRDefault="002D79FD" w:rsidP="002D79F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Produce Safety - </w:t>
      </w:r>
      <w:r w:rsidRPr="00A950CD">
        <w:rPr>
          <w:sz w:val="20"/>
        </w:rPr>
        <w:t xml:space="preserve">The </w:t>
      </w:r>
      <w:r>
        <w:rPr>
          <w:sz w:val="20"/>
        </w:rPr>
        <w:t>PSA</w:t>
      </w:r>
      <w:r w:rsidRPr="00A950CD">
        <w:rPr>
          <w:sz w:val="20"/>
        </w:rPr>
        <w:t xml:space="preserve"> maintains a website with information on training requirements and a list of available courses and more information on becoming a</w:t>
      </w:r>
      <w:r>
        <w:rPr>
          <w:sz w:val="20"/>
        </w:rPr>
        <w:t xml:space="preserve"> PSA Trainer or PSA Lead Trainer</w:t>
      </w:r>
      <w:r w:rsidRPr="00A950CD">
        <w:rPr>
          <w:sz w:val="20"/>
        </w:rPr>
        <w:t xml:space="preserve">: </w:t>
      </w:r>
    </w:p>
    <w:p w14:paraId="6AD83E29" w14:textId="041D2546" w:rsidR="002D79FD" w:rsidRDefault="00323102" w:rsidP="002D79FD">
      <w:pPr>
        <w:pStyle w:val="ListParagraph"/>
        <w:rPr>
          <w:sz w:val="20"/>
          <w:szCs w:val="20"/>
        </w:rPr>
      </w:pPr>
      <w:hyperlink r:id="rId9" w:history="1">
        <w:r w:rsidR="002D79FD" w:rsidRPr="002D79FD">
          <w:rPr>
            <w:rStyle w:val="Hyperlink"/>
            <w:sz w:val="20"/>
            <w:szCs w:val="20"/>
          </w:rPr>
          <w:t>http://producesafetyalliance.cornell.edu/training</w:t>
        </w:r>
      </w:hyperlink>
      <w:r w:rsidR="0052619E">
        <w:rPr>
          <w:sz w:val="20"/>
          <w:szCs w:val="20"/>
        </w:rPr>
        <w:t>.</w:t>
      </w:r>
      <w:r w:rsidR="002D79FD" w:rsidRPr="002D79FD">
        <w:rPr>
          <w:sz w:val="20"/>
          <w:szCs w:val="20"/>
        </w:rPr>
        <w:t xml:space="preserve"> </w:t>
      </w:r>
    </w:p>
    <w:p w14:paraId="0EA787EB" w14:textId="6F65963A" w:rsidR="00BD3D0D" w:rsidRDefault="00BD3D0D" w:rsidP="004943B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Sprout Safety - </w:t>
      </w:r>
      <w:r w:rsidRPr="00A950CD">
        <w:rPr>
          <w:sz w:val="20"/>
        </w:rPr>
        <w:t xml:space="preserve">The </w:t>
      </w:r>
      <w:r>
        <w:rPr>
          <w:sz w:val="20"/>
        </w:rPr>
        <w:t>SSA</w:t>
      </w:r>
      <w:r w:rsidRPr="00A950CD">
        <w:rPr>
          <w:sz w:val="20"/>
        </w:rPr>
        <w:t xml:space="preserve"> maintains a website with information on training requirements and a list of available courses and more information on becoming a</w:t>
      </w:r>
      <w:r>
        <w:rPr>
          <w:sz w:val="20"/>
        </w:rPr>
        <w:t xml:space="preserve"> SSA Lead Instructor</w:t>
      </w:r>
      <w:r w:rsidRPr="00A950CD">
        <w:rPr>
          <w:sz w:val="20"/>
        </w:rPr>
        <w:t xml:space="preserve">: </w:t>
      </w:r>
      <w:hyperlink r:id="rId10" w:history="1">
        <w:r w:rsidR="004943BA" w:rsidRPr="00CC54E2">
          <w:rPr>
            <w:rStyle w:val="Hyperlink"/>
            <w:sz w:val="20"/>
          </w:rPr>
          <w:t>https://www.ifsh.iit.edu/ssa/resources/ssa-training</w:t>
        </w:r>
      </w:hyperlink>
      <w:r w:rsidR="004943BA">
        <w:rPr>
          <w:sz w:val="20"/>
        </w:rPr>
        <w:t xml:space="preserve">. </w:t>
      </w:r>
    </w:p>
    <w:p w14:paraId="46FADE90" w14:textId="6D2BB157" w:rsidR="00F65713" w:rsidRPr="00A950CD" w:rsidRDefault="00F65713" w:rsidP="00F65713">
      <w:pPr>
        <w:rPr>
          <w:sz w:val="20"/>
        </w:rPr>
      </w:pPr>
      <w:r w:rsidRPr="00A950CD">
        <w:rPr>
          <w:sz w:val="20"/>
        </w:rPr>
        <w:t>Process</w:t>
      </w:r>
    </w:p>
    <w:p w14:paraId="2139162D" w14:textId="77777777" w:rsidR="00A63B24" w:rsidRPr="00A950CD" w:rsidRDefault="00A63B24" w:rsidP="00A63B24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 xml:space="preserve">Applications will be received and reviewed on a rolling basis. </w:t>
      </w:r>
    </w:p>
    <w:p w14:paraId="26148A5A" w14:textId="10828AEC" w:rsidR="00F65713" w:rsidRPr="00A950CD" w:rsidRDefault="00A950CD" w:rsidP="00A63B24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>Applicant p</w:t>
      </w:r>
      <w:r w:rsidR="00F65713" w:rsidRPr="00A950CD">
        <w:rPr>
          <w:sz w:val="20"/>
        </w:rPr>
        <w:t>rovide</w:t>
      </w:r>
      <w:r w:rsidRPr="00A950CD">
        <w:rPr>
          <w:sz w:val="20"/>
        </w:rPr>
        <w:t>s</w:t>
      </w:r>
      <w:r w:rsidR="00F65713" w:rsidRPr="00A950CD">
        <w:rPr>
          <w:sz w:val="20"/>
        </w:rPr>
        <w:t xml:space="preserve"> a letter of application </w:t>
      </w:r>
      <w:r w:rsidR="00A63B24" w:rsidRPr="00A950CD">
        <w:rPr>
          <w:sz w:val="20"/>
        </w:rPr>
        <w:t xml:space="preserve">following the </w:t>
      </w:r>
      <w:r w:rsidR="002C6893">
        <w:rPr>
          <w:sz w:val="20"/>
        </w:rPr>
        <w:t xml:space="preserve">format </w:t>
      </w:r>
      <w:r w:rsidR="00A63B24" w:rsidRPr="00A950CD">
        <w:rPr>
          <w:sz w:val="20"/>
        </w:rPr>
        <w:t xml:space="preserve">below to </w:t>
      </w:r>
      <w:hyperlink r:id="rId11" w:history="1">
        <w:r w:rsidR="00F65713" w:rsidRPr="00A950CD">
          <w:rPr>
            <w:rStyle w:val="Hyperlink"/>
            <w:sz w:val="20"/>
          </w:rPr>
          <w:t>necafs@uvm.edu</w:t>
        </w:r>
      </w:hyperlink>
      <w:r w:rsidR="00F65713" w:rsidRPr="00A950CD">
        <w:rPr>
          <w:sz w:val="20"/>
        </w:rPr>
        <w:t xml:space="preserve">, Subject Line: </w:t>
      </w:r>
      <w:r w:rsidR="002D79FD">
        <w:rPr>
          <w:sz w:val="20"/>
        </w:rPr>
        <w:t xml:space="preserve">FSMA </w:t>
      </w:r>
      <w:r w:rsidR="00F65713" w:rsidRPr="00A950CD">
        <w:rPr>
          <w:sz w:val="20"/>
        </w:rPr>
        <w:t>P</w:t>
      </w:r>
      <w:r w:rsidR="0070112E">
        <w:rPr>
          <w:sz w:val="20"/>
        </w:rPr>
        <w:t>SA</w:t>
      </w:r>
      <w:r w:rsidR="002D79FD">
        <w:rPr>
          <w:sz w:val="20"/>
        </w:rPr>
        <w:t>/FSPCA</w:t>
      </w:r>
      <w:r w:rsidR="00EA0C75">
        <w:rPr>
          <w:sz w:val="20"/>
        </w:rPr>
        <w:t>/SSA</w:t>
      </w:r>
      <w:r w:rsidR="00284204">
        <w:rPr>
          <w:sz w:val="20"/>
        </w:rPr>
        <w:t xml:space="preserve"> Training Support Stipend Program</w:t>
      </w:r>
      <w:r w:rsidR="00F65713" w:rsidRPr="00A950CD">
        <w:rPr>
          <w:sz w:val="20"/>
        </w:rPr>
        <w:t xml:space="preserve"> – {LAST NAME, FIRST NAME}</w:t>
      </w:r>
    </w:p>
    <w:p w14:paraId="7D0C558A" w14:textId="47ABC5F3" w:rsidR="00F65713" w:rsidRPr="00A950CD" w:rsidRDefault="00A950CD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 xml:space="preserve">NECAFS </w:t>
      </w:r>
      <w:r w:rsidR="00F65713" w:rsidRPr="00A950CD">
        <w:rPr>
          <w:sz w:val="20"/>
        </w:rPr>
        <w:t xml:space="preserve">will review </w:t>
      </w:r>
      <w:r w:rsidRPr="00A950CD">
        <w:rPr>
          <w:sz w:val="20"/>
        </w:rPr>
        <w:t xml:space="preserve">the </w:t>
      </w:r>
      <w:r w:rsidR="00F65713" w:rsidRPr="00A950CD">
        <w:rPr>
          <w:sz w:val="20"/>
        </w:rPr>
        <w:t>application and provide notice of whether reimbursement is allocated or not.</w:t>
      </w:r>
    </w:p>
    <w:p w14:paraId="5D3A8DD6" w14:textId="72119596" w:rsidR="00A63B24" w:rsidRPr="00A950CD" w:rsidRDefault="00A950CD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 xml:space="preserve">Applicant </w:t>
      </w:r>
      <w:r w:rsidR="00F65713" w:rsidRPr="00A950CD">
        <w:rPr>
          <w:sz w:val="20"/>
        </w:rPr>
        <w:t>attend</w:t>
      </w:r>
      <w:r w:rsidRPr="00A950CD">
        <w:rPr>
          <w:sz w:val="20"/>
        </w:rPr>
        <w:t>s</w:t>
      </w:r>
      <w:r w:rsidR="00F65713" w:rsidRPr="00A950CD">
        <w:rPr>
          <w:sz w:val="20"/>
        </w:rPr>
        <w:t xml:space="preserve"> the</w:t>
      </w:r>
      <w:r w:rsidR="00CD1587" w:rsidRPr="00A950CD">
        <w:rPr>
          <w:sz w:val="20"/>
        </w:rPr>
        <w:t xml:space="preserve"> courses </w:t>
      </w:r>
      <w:r w:rsidR="00F65713" w:rsidRPr="00A950CD">
        <w:rPr>
          <w:sz w:val="20"/>
        </w:rPr>
        <w:t xml:space="preserve">and provide copies of </w:t>
      </w:r>
      <w:r w:rsidR="00A63B24" w:rsidRPr="00A950CD">
        <w:rPr>
          <w:sz w:val="20"/>
        </w:rPr>
        <w:t>certificates to document successful completion</w:t>
      </w:r>
      <w:r w:rsidR="00CD1587" w:rsidRPr="00A950CD">
        <w:rPr>
          <w:sz w:val="20"/>
        </w:rPr>
        <w:t xml:space="preserve"> of </w:t>
      </w:r>
      <w:r w:rsidR="0070112E">
        <w:rPr>
          <w:sz w:val="20"/>
        </w:rPr>
        <w:t xml:space="preserve">PSA Train-the-Trainer Course </w:t>
      </w:r>
      <w:r w:rsidR="002D79FD">
        <w:rPr>
          <w:sz w:val="20"/>
        </w:rPr>
        <w:t xml:space="preserve">and/or </w:t>
      </w:r>
      <w:r w:rsidR="00A63B24" w:rsidRPr="00A950CD">
        <w:rPr>
          <w:sz w:val="20"/>
        </w:rPr>
        <w:t xml:space="preserve">along with clear, itemized receipts using the </w:t>
      </w:r>
      <w:hyperlink r:id="rId12" w:history="1">
        <w:r w:rsidR="00A63B24" w:rsidRPr="002C6893">
          <w:rPr>
            <w:rStyle w:val="Hyperlink"/>
            <w:sz w:val="20"/>
          </w:rPr>
          <w:t>NECAFS reimbursement form</w:t>
        </w:r>
      </w:hyperlink>
      <w:r w:rsidR="00A63B24" w:rsidRPr="00A950CD">
        <w:rPr>
          <w:sz w:val="20"/>
        </w:rPr>
        <w:t xml:space="preserve"> (emailed as PDF’s to </w:t>
      </w:r>
      <w:hyperlink r:id="rId13" w:history="1">
        <w:r w:rsidR="00A63B24" w:rsidRPr="00A950CD">
          <w:rPr>
            <w:rStyle w:val="Hyperlink"/>
            <w:sz w:val="20"/>
          </w:rPr>
          <w:t>necafs@uvm.edu</w:t>
        </w:r>
      </w:hyperlink>
      <w:r w:rsidR="00A63B24" w:rsidRPr="00A950CD">
        <w:rPr>
          <w:sz w:val="20"/>
        </w:rPr>
        <w:t>.)</w:t>
      </w:r>
    </w:p>
    <w:p w14:paraId="2A602A94" w14:textId="7E3B42E8" w:rsidR="00F65713" w:rsidRPr="00A950CD" w:rsidRDefault="00A950CD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 xml:space="preserve">NECAFS </w:t>
      </w:r>
      <w:r w:rsidR="00A63B24" w:rsidRPr="00A950CD">
        <w:rPr>
          <w:sz w:val="20"/>
        </w:rPr>
        <w:t xml:space="preserve">will process your reimbursement following receipt of necessary documents and internal processing. </w:t>
      </w:r>
    </w:p>
    <w:p w14:paraId="464E2F74" w14:textId="39C08424" w:rsidR="00F65713" w:rsidRPr="00A950CD" w:rsidRDefault="00F65713" w:rsidP="00F65713">
      <w:pPr>
        <w:rPr>
          <w:sz w:val="20"/>
        </w:rPr>
      </w:pPr>
      <w:r w:rsidRPr="00A950CD">
        <w:rPr>
          <w:sz w:val="20"/>
        </w:rPr>
        <w:t xml:space="preserve">Letter of Application </w:t>
      </w:r>
      <w:r w:rsidR="002C6893">
        <w:rPr>
          <w:sz w:val="20"/>
        </w:rPr>
        <w:t>Format</w:t>
      </w:r>
    </w:p>
    <w:p w14:paraId="407F5E1E" w14:textId="720F4A1D" w:rsidR="00F65713" w:rsidRPr="00A950CD" w:rsidRDefault="00F65713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>Please print on organizational letter head (</w:t>
      </w:r>
      <w:r w:rsidR="00DA09E5" w:rsidRPr="00A950CD">
        <w:rPr>
          <w:sz w:val="20"/>
        </w:rPr>
        <w:t>“</w:t>
      </w:r>
      <w:r w:rsidRPr="00A950CD">
        <w:rPr>
          <w:sz w:val="20"/>
        </w:rPr>
        <w:t>print to</w:t>
      </w:r>
      <w:r w:rsidR="00DA09E5" w:rsidRPr="00A950CD">
        <w:rPr>
          <w:sz w:val="20"/>
        </w:rPr>
        <w:t>”</w:t>
      </w:r>
      <w:r w:rsidRPr="00A950CD">
        <w:rPr>
          <w:sz w:val="20"/>
        </w:rPr>
        <w:t xml:space="preserve"> or </w:t>
      </w:r>
      <w:r w:rsidR="00DA09E5" w:rsidRPr="00A950CD">
        <w:rPr>
          <w:sz w:val="20"/>
        </w:rPr>
        <w:t>“</w:t>
      </w:r>
      <w:r w:rsidRPr="00A950CD">
        <w:rPr>
          <w:sz w:val="20"/>
        </w:rPr>
        <w:t>save as</w:t>
      </w:r>
      <w:r w:rsidR="00DA09E5" w:rsidRPr="00A950CD">
        <w:rPr>
          <w:sz w:val="20"/>
        </w:rPr>
        <w:t>”</w:t>
      </w:r>
      <w:r w:rsidRPr="00A950CD">
        <w:rPr>
          <w:sz w:val="20"/>
        </w:rPr>
        <w:t xml:space="preserve"> a PDF for emailing purposes).</w:t>
      </w:r>
    </w:p>
    <w:p w14:paraId="3D1EF944" w14:textId="77777777" w:rsidR="002C6893" w:rsidRDefault="002C6893" w:rsidP="00F65713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Letter should not exceed two pages.</w:t>
      </w:r>
    </w:p>
    <w:p w14:paraId="714A6ABB" w14:textId="24326A26" w:rsidR="00F65713" w:rsidRPr="00A950CD" w:rsidRDefault="00F65713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>Provide your full name, title, address, phone number and email address.</w:t>
      </w:r>
    </w:p>
    <w:p w14:paraId="4EED6CDD" w14:textId="3D01987B" w:rsidR="00F65713" w:rsidRPr="00A950CD" w:rsidRDefault="00F65713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>Provide a brief summary of your activities related to food safety training that justifies the reimbursement.</w:t>
      </w:r>
    </w:p>
    <w:p w14:paraId="0576278A" w14:textId="4EBB9FBB" w:rsidR="00A63B24" w:rsidRPr="00A950CD" w:rsidRDefault="00A63B24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>If you have a specific circumstance that may justify a reimb</w:t>
      </w:r>
      <w:r w:rsidR="00AB7A81">
        <w:rPr>
          <w:sz w:val="20"/>
        </w:rPr>
        <w:t>ursement allocation above the $2</w:t>
      </w:r>
      <w:r w:rsidRPr="00A950CD">
        <w:rPr>
          <w:sz w:val="20"/>
        </w:rPr>
        <w:t xml:space="preserve">000 cap, please explain the rationale including a statement </w:t>
      </w:r>
      <w:r w:rsidR="00A950CD" w:rsidRPr="00A950CD">
        <w:rPr>
          <w:sz w:val="20"/>
        </w:rPr>
        <w:t xml:space="preserve">summarizing the </w:t>
      </w:r>
      <w:r w:rsidRPr="00A950CD">
        <w:rPr>
          <w:sz w:val="20"/>
        </w:rPr>
        <w:t>potential impact from NECAFS support.</w:t>
      </w:r>
    </w:p>
    <w:p w14:paraId="20D79707" w14:textId="4B559C44" w:rsidR="00F65713" w:rsidRPr="00A950CD" w:rsidRDefault="00F65713" w:rsidP="00F65713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>Indicate which</w:t>
      </w:r>
      <w:r w:rsidR="0070112E">
        <w:rPr>
          <w:sz w:val="20"/>
        </w:rPr>
        <w:t xml:space="preserve"> PSA Train-the-Trainer </w:t>
      </w:r>
      <w:r w:rsidR="003E00FF">
        <w:rPr>
          <w:sz w:val="20"/>
        </w:rPr>
        <w:t xml:space="preserve">/ Lead Trainer </w:t>
      </w:r>
      <w:r w:rsidR="0070112E">
        <w:rPr>
          <w:sz w:val="20"/>
        </w:rPr>
        <w:t>Course</w:t>
      </w:r>
      <w:r w:rsidR="00EA0C75">
        <w:rPr>
          <w:sz w:val="20"/>
        </w:rPr>
        <w:t>,</w:t>
      </w:r>
      <w:r w:rsidR="004943BA">
        <w:rPr>
          <w:sz w:val="20"/>
        </w:rPr>
        <w:t xml:space="preserve"> </w:t>
      </w:r>
      <w:r w:rsidR="002D79FD">
        <w:rPr>
          <w:sz w:val="20"/>
        </w:rPr>
        <w:t>FSPCA</w:t>
      </w:r>
      <w:r w:rsidRPr="00A950CD">
        <w:rPr>
          <w:sz w:val="20"/>
        </w:rPr>
        <w:t xml:space="preserve"> Q</w:t>
      </w:r>
      <w:r w:rsidR="003E00FF">
        <w:rPr>
          <w:sz w:val="20"/>
        </w:rPr>
        <w:t xml:space="preserve">ualified </w:t>
      </w:r>
      <w:r w:rsidRPr="00A950CD">
        <w:rPr>
          <w:sz w:val="20"/>
        </w:rPr>
        <w:t>I</w:t>
      </w:r>
      <w:r w:rsidR="003E00FF">
        <w:rPr>
          <w:sz w:val="20"/>
        </w:rPr>
        <w:t>ndividual</w:t>
      </w:r>
      <w:r w:rsidRPr="00A950CD">
        <w:rPr>
          <w:sz w:val="20"/>
        </w:rPr>
        <w:t xml:space="preserve"> </w:t>
      </w:r>
      <w:r w:rsidR="003E00FF">
        <w:rPr>
          <w:sz w:val="20"/>
        </w:rPr>
        <w:t xml:space="preserve">/ </w:t>
      </w:r>
      <w:r w:rsidRPr="00A950CD">
        <w:rPr>
          <w:sz w:val="20"/>
        </w:rPr>
        <w:t>L</w:t>
      </w:r>
      <w:r w:rsidR="003E00FF">
        <w:rPr>
          <w:sz w:val="20"/>
        </w:rPr>
        <w:t xml:space="preserve">ead </w:t>
      </w:r>
      <w:r w:rsidRPr="00A950CD">
        <w:rPr>
          <w:sz w:val="20"/>
        </w:rPr>
        <w:t>I</w:t>
      </w:r>
      <w:r w:rsidR="003E00FF">
        <w:rPr>
          <w:sz w:val="20"/>
        </w:rPr>
        <w:t>nstructor</w:t>
      </w:r>
      <w:r w:rsidRPr="00A950CD">
        <w:rPr>
          <w:sz w:val="20"/>
        </w:rPr>
        <w:t xml:space="preserve"> trainings </w:t>
      </w:r>
      <w:r w:rsidR="00EA0C75">
        <w:rPr>
          <w:sz w:val="20"/>
        </w:rPr>
        <w:t xml:space="preserve">or SSA course </w:t>
      </w:r>
      <w:r w:rsidRPr="00A950CD">
        <w:rPr>
          <w:sz w:val="20"/>
        </w:rPr>
        <w:t>you plan to attend</w:t>
      </w:r>
      <w:r w:rsidR="00A63B24" w:rsidRPr="00A950CD">
        <w:rPr>
          <w:sz w:val="20"/>
        </w:rPr>
        <w:t>, including the date, location</w:t>
      </w:r>
      <w:r w:rsidRPr="00A950CD">
        <w:rPr>
          <w:sz w:val="20"/>
        </w:rPr>
        <w:t xml:space="preserve"> </w:t>
      </w:r>
      <w:r w:rsidR="00A63B24" w:rsidRPr="00A950CD">
        <w:rPr>
          <w:sz w:val="20"/>
        </w:rPr>
        <w:t xml:space="preserve">and </w:t>
      </w:r>
      <w:r w:rsidRPr="00A950CD">
        <w:rPr>
          <w:sz w:val="20"/>
        </w:rPr>
        <w:t>a budget estimate for registration and travel (itemized by expense type and training component)</w:t>
      </w:r>
      <w:r w:rsidR="003E00FF">
        <w:rPr>
          <w:sz w:val="20"/>
        </w:rPr>
        <w:t>.</w:t>
      </w:r>
    </w:p>
    <w:p w14:paraId="09C99C5F" w14:textId="77777777" w:rsidR="00CD1587" w:rsidRPr="00A950CD" w:rsidRDefault="00CD1587" w:rsidP="00CD1587">
      <w:pPr>
        <w:rPr>
          <w:sz w:val="20"/>
        </w:rPr>
      </w:pPr>
      <w:r w:rsidRPr="00A950CD">
        <w:rPr>
          <w:sz w:val="20"/>
        </w:rPr>
        <w:t>Obligations</w:t>
      </w:r>
    </w:p>
    <w:p w14:paraId="16809E2A" w14:textId="0328B287" w:rsidR="00CD1587" w:rsidRPr="00A950CD" w:rsidRDefault="00CD1587" w:rsidP="00CD1587">
      <w:pPr>
        <w:pStyle w:val="ListParagraph"/>
        <w:numPr>
          <w:ilvl w:val="0"/>
          <w:numId w:val="1"/>
        </w:numPr>
        <w:rPr>
          <w:sz w:val="20"/>
        </w:rPr>
      </w:pPr>
      <w:r w:rsidRPr="00A950CD">
        <w:rPr>
          <w:sz w:val="20"/>
        </w:rPr>
        <w:t xml:space="preserve">Applicants who are supported through the NECAFS Training Support Program are </w:t>
      </w:r>
      <w:r w:rsidR="00F81478" w:rsidRPr="00A950CD">
        <w:rPr>
          <w:sz w:val="20"/>
        </w:rPr>
        <w:t>requested</w:t>
      </w:r>
      <w:r w:rsidR="00A950CD" w:rsidRPr="00A950CD">
        <w:rPr>
          <w:sz w:val="20"/>
        </w:rPr>
        <w:t xml:space="preserve"> to provide NECAFS a</w:t>
      </w:r>
      <w:r w:rsidRPr="00A950CD">
        <w:rPr>
          <w:sz w:val="20"/>
        </w:rPr>
        <w:t xml:space="preserve"> </w:t>
      </w:r>
      <w:r w:rsidR="00A950CD" w:rsidRPr="00A950CD">
        <w:rPr>
          <w:sz w:val="20"/>
        </w:rPr>
        <w:t xml:space="preserve">short, </w:t>
      </w:r>
      <w:r w:rsidRPr="00A950CD">
        <w:rPr>
          <w:sz w:val="20"/>
        </w:rPr>
        <w:t xml:space="preserve">annual summary of </w:t>
      </w:r>
      <w:r w:rsidR="0070112E">
        <w:rPr>
          <w:sz w:val="20"/>
        </w:rPr>
        <w:t>PSA</w:t>
      </w:r>
      <w:r w:rsidR="00EA0C75">
        <w:rPr>
          <w:sz w:val="20"/>
        </w:rPr>
        <w:t>,</w:t>
      </w:r>
      <w:r w:rsidR="0070112E">
        <w:rPr>
          <w:sz w:val="20"/>
        </w:rPr>
        <w:t xml:space="preserve"> </w:t>
      </w:r>
      <w:r w:rsidR="002D79FD">
        <w:rPr>
          <w:sz w:val="20"/>
        </w:rPr>
        <w:t>FSPCA</w:t>
      </w:r>
      <w:r w:rsidRPr="00A950CD">
        <w:rPr>
          <w:sz w:val="20"/>
        </w:rPr>
        <w:t xml:space="preserve"> </w:t>
      </w:r>
      <w:r w:rsidR="00EA0C75">
        <w:rPr>
          <w:sz w:val="20"/>
        </w:rPr>
        <w:t xml:space="preserve">and/or SSA </w:t>
      </w:r>
      <w:r w:rsidRPr="00A950CD">
        <w:rPr>
          <w:sz w:val="20"/>
        </w:rPr>
        <w:t xml:space="preserve">training events they conduct including attendance, available summary evaluation data, </w:t>
      </w:r>
      <w:r w:rsidR="00DA09E5" w:rsidRPr="00A950CD">
        <w:rPr>
          <w:sz w:val="20"/>
        </w:rPr>
        <w:t xml:space="preserve">photos of courses </w:t>
      </w:r>
      <w:r w:rsidRPr="00A950CD">
        <w:rPr>
          <w:sz w:val="20"/>
        </w:rPr>
        <w:t>and any testimonial impact or meaningful change that occurred among the cohort.</w:t>
      </w:r>
    </w:p>
    <w:p w14:paraId="5F4066D4" w14:textId="415680FF" w:rsidR="00A63B24" w:rsidRDefault="00A63B24" w:rsidP="00A63B24">
      <w:pPr>
        <w:rPr>
          <w:sz w:val="20"/>
        </w:rPr>
      </w:pPr>
      <w:r w:rsidRPr="00A950CD">
        <w:rPr>
          <w:sz w:val="20"/>
        </w:rPr>
        <w:t xml:space="preserve">Contact: </w:t>
      </w:r>
      <w:r w:rsidR="00C40975">
        <w:rPr>
          <w:sz w:val="20"/>
        </w:rPr>
        <w:t>Elizabeth Newbold</w:t>
      </w:r>
      <w:r w:rsidRPr="00A950CD">
        <w:rPr>
          <w:sz w:val="20"/>
        </w:rPr>
        <w:t xml:space="preserve">, UVM, </w:t>
      </w:r>
      <w:hyperlink r:id="rId14" w:history="1">
        <w:r w:rsidRPr="00A950CD">
          <w:rPr>
            <w:rStyle w:val="Hyperlink"/>
            <w:sz w:val="20"/>
          </w:rPr>
          <w:t>necafs@uvm.edu</w:t>
        </w:r>
      </w:hyperlink>
      <w:r w:rsidR="0052619E">
        <w:rPr>
          <w:rStyle w:val="Hyperlink"/>
          <w:sz w:val="20"/>
        </w:rPr>
        <w:t>,</w:t>
      </w:r>
      <w:r w:rsidR="0052619E">
        <w:rPr>
          <w:sz w:val="20"/>
        </w:rPr>
        <w:t xml:space="preserve"> </w:t>
      </w:r>
      <w:r w:rsidR="0052619E" w:rsidRPr="0052619E">
        <w:rPr>
          <w:sz w:val="20"/>
        </w:rPr>
        <w:t>802-447-7582 x254</w:t>
      </w:r>
      <w:r w:rsidR="0052619E">
        <w:rPr>
          <w:sz w:val="20"/>
        </w:rPr>
        <w:t>.</w:t>
      </w:r>
    </w:p>
    <w:p w14:paraId="05686D57" w14:textId="24C2ACE7" w:rsidR="00A950CD" w:rsidRPr="00A950CD" w:rsidRDefault="00A950CD" w:rsidP="00A63B24">
      <w:pPr>
        <w:rPr>
          <w:sz w:val="20"/>
        </w:rPr>
      </w:pPr>
    </w:p>
    <w:sectPr w:rsidR="00A950CD" w:rsidRPr="00A950CD" w:rsidSect="00A950CD">
      <w:footerReference w:type="default" r:id="rId1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44E3" w14:textId="77777777" w:rsidR="00323102" w:rsidRDefault="00323102" w:rsidP="0026204B">
      <w:pPr>
        <w:spacing w:after="0" w:line="240" w:lineRule="auto"/>
      </w:pPr>
      <w:r>
        <w:separator/>
      </w:r>
    </w:p>
  </w:endnote>
  <w:endnote w:type="continuationSeparator" w:id="0">
    <w:p w14:paraId="741499A0" w14:textId="77777777" w:rsidR="00323102" w:rsidRDefault="00323102" w:rsidP="0026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C27D8" w14:textId="73C0FE1E" w:rsidR="0026204B" w:rsidRPr="0026204B" w:rsidRDefault="0026204B" w:rsidP="0026204B">
    <w:pPr>
      <w:pStyle w:val="Footer"/>
      <w:rPr>
        <w:sz w:val="18"/>
        <w:szCs w:val="18"/>
      </w:rPr>
    </w:pPr>
    <w:r w:rsidRPr="0026204B">
      <w:rPr>
        <w:sz w:val="18"/>
        <w:szCs w:val="18"/>
      </w:rPr>
      <w:t>Updated: August 14, 2017</w:t>
    </w:r>
  </w:p>
  <w:p w14:paraId="5ECD4C69" w14:textId="6ADE787B" w:rsidR="0026204B" w:rsidRDefault="0026204B">
    <w:pPr>
      <w:pStyle w:val="Footer"/>
    </w:pPr>
  </w:p>
  <w:p w14:paraId="6614C541" w14:textId="77777777" w:rsidR="0026204B" w:rsidRDefault="00262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8A289" w14:textId="77777777" w:rsidR="00323102" w:rsidRDefault="00323102" w:rsidP="0026204B">
      <w:pPr>
        <w:spacing w:after="0" w:line="240" w:lineRule="auto"/>
      </w:pPr>
      <w:r>
        <w:separator/>
      </w:r>
    </w:p>
  </w:footnote>
  <w:footnote w:type="continuationSeparator" w:id="0">
    <w:p w14:paraId="3A396336" w14:textId="77777777" w:rsidR="00323102" w:rsidRDefault="00323102" w:rsidP="0026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5E"/>
    <w:multiLevelType w:val="hybridMultilevel"/>
    <w:tmpl w:val="5C30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56F11"/>
    <w:multiLevelType w:val="hybridMultilevel"/>
    <w:tmpl w:val="9CCA87F0"/>
    <w:lvl w:ilvl="0" w:tplc="D1380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90B0D"/>
    <w:multiLevelType w:val="hybridMultilevel"/>
    <w:tmpl w:val="21C28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5C"/>
    <w:rsid w:val="000741CD"/>
    <w:rsid w:val="000A0CBF"/>
    <w:rsid w:val="00173C80"/>
    <w:rsid w:val="0026204B"/>
    <w:rsid w:val="00284204"/>
    <w:rsid w:val="002C6893"/>
    <w:rsid w:val="002D79FD"/>
    <w:rsid w:val="00323102"/>
    <w:rsid w:val="003E00FF"/>
    <w:rsid w:val="00430CD5"/>
    <w:rsid w:val="004943BA"/>
    <w:rsid w:val="0052619E"/>
    <w:rsid w:val="006A67E5"/>
    <w:rsid w:val="0070112E"/>
    <w:rsid w:val="007A7DB9"/>
    <w:rsid w:val="0091445C"/>
    <w:rsid w:val="00A63B24"/>
    <w:rsid w:val="00A94FAA"/>
    <w:rsid w:val="00A950CD"/>
    <w:rsid w:val="00AA3050"/>
    <w:rsid w:val="00AB7A81"/>
    <w:rsid w:val="00AD189C"/>
    <w:rsid w:val="00B1406F"/>
    <w:rsid w:val="00BD3D0D"/>
    <w:rsid w:val="00C01612"/>
    <w:rsid w:val="00C21BB0"/>
    <w:rsid w:val="00C40975"/>
    <w:rsid w:val="00CB4196"/>
    <w:rsid w:val="00CC0220"/>
    <w:rsid w:val="00CD1587"/>
    <w:rsid w:val="00DA09E5"/>
    <w:rsid w:val="00E46365"/>
    <w:rsid w:val="00E72CF7"/>
    <w:rsid w:val="00EA0C75"/>
    <w:rsid w:val="00EC36AE"/>
    <w:rsid w:val="00F65713"/>
    <w:rsid w:val="00F81478"/>
    <w:rsid w:val="00F9052C"/>
    <w:rsid w:val="00FA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54EB1"/>
  <w15:docId w15:val="{57BAE219-6BFA-432E-B2AC-F6A53F6E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71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1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5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5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4B"/>
  </w:style>
  <w:style w:type="paragraph" w:styleId="Footer">
    <w:name w:val="footer"/>
    <w:basedOn w:val="Normal"/>
    <w:link w:val="FooterChar"/>
    <w:uiPriority w:val="99"/>
    <w:unhideWhenUsed/>
    <w:rsid w:val="0026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sh.iit.edu/fspca" TargetMode="External"/><Relationship Id="rId13" Type="http://schemas.openxmlformats.org/officeDocument/2006/relationships/hyperlink" Target="mailto:necafs@uv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glw53\AppData\Local\Microsoft\Windows\Temporary%20Internet%20Files\Content.Outlook\YXYY8I8S\go.uvm.edu\necafsexpfo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cafs@uvm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fsh.iit.edu/ssa/resources/ssa-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ducesafetyalliance.cornell.edu/training" TargetMode="External"/><Relationship Id="rId14" Type="http://schemas.openxmlformats.org/officeDocument/2006/relationships/hyperlink" Target="mailto:necafs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cwcallah</dc:creator>
  <cp:lastModifiedBy>enewbold</cp:lastModifiedBy>
  <cp:revision>9</cp:revision>
  <cp:lastPrinted>2016-09-26T14:29:00Z</cp:lastPrinted>
  <dcterms:created xsi:type="dcterms:W3CDTF">2016-11-15T21:15:00Z</dcterms:created>
  <dcterms:modified xsi:type="dcterms:W3CDTF">2018-04-23T18:05:00Z</dcterms:modified>
</cp:coreProperties>
</file>