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BC9B" w14:textId="75278054" w:rsidR="00CF5B71" w:rsidRPr="00CF5B71" w:rsidRDefault="00CF5B71" w:rsidP="00CF5B71">
      <w:pPr>
        <w:pStyle w:val="Title"/>
        <w:spacing w:before="0"/>
        <w:ind w:left="0" w:right="0" w:firstLine="0"/>
        <w:jc w:val="center"/>
        <w:rPr>
          <w:b w:val="0"/>
          <w:sz w:val="24"/>
          <w:szCs w:val="24"/>
        </w:rPr>
      </w:pPr>
      <w:r w:rsidRPr="00CF5B71">
        <w:rPr>
          <w:sz w:val="24"/>
          <w:szCs w:val="24"/>
        </w:rPr>
        <w:t>Department of</w:t>
      </w:r>
      <w:r w:rsidRPr="00CF5B71">
        <w:rPr>
          <w:spacing w:val="1"/>
          <w:sz w:val="24"/>
          <w:szCs w:val="24"/>
        </w:rPr>
        <w:t xml:space="preserve"> </w:t>
      </w:r>
      <w:r w:rsidRPr="00CF5B71">
        <w:rPr>
          <w:sz w:val="24"/>
          <w:szCs w:val="24"/>
        </w:rPr>
        <w:t>and E</w:t>
      </w:r>
      <w:r w:rsidRPr="00CF5B71">
        <w:rPr>
          <w:sz w:val="24"/>
          <w:szCs w:val="24"/>
        </w:rPr>
        <w:t>lectrical &amp;</w:t>
      </w:r>
      <w:r w:rsidRPr="00CF5B71">
        <w:rPr>
          <w:sz w:val="24"/>
          <w:szCs w:val="24"/>
        </w:rPr>
        <w:t xml:space="preserve"> </w:t>
      </w:r>
      <w:r w:rsidRPr="00CF5B71">
        <w:rPr>
          <w:sz w:val="24"/>
          <w:szCs w:val="24"/>
        </w:rPr>
        <w:t xml:space="preserve">Biomedical </w:t>
      </w:r>
      <w:r w:rsidRPr="00CF5B71">
        <w:rPr>
          <w:sz w:val="24"/>
          <w:szCs w:val="24"/>
        </w:rPr>
        <w:t>Engineering Course Equivalencies (CEs)</w:t>
      </w:r>
    </w:p>
    <w:p w14:paraId="5A7F5EF3" w14:textId="21553EC1" w:rsidR="00CF5B71" w:rsidRPr="00CF5B71" w:rsidRDefault="00CF5B71" w:rsidP="00CF5B71">
      <w:pPr>
        <w:jc w:val="center"/>
        <w:rPr>
          <w:rFonts w:ascii="Times New Roman" w:hAnsi="Times New Roman" w:cs="Times New Roman"/>
          <w:b/>
          <w:bCs/>
          <w:sz w:val="24"/>
          <w:szCs w:val="24"/>
        </w:rPr>
      </w:pPr>
      <w:r w:rsidRPr="00CF5B71">
        <w:rPr>
          <w:rFonts w:ascii="Times New Roman" w:hAnsi="Times New Roman" w:cs="Times New Roman"/>
          <w:b/>
          <w:bCs/>
          <w:sz w:val="24"/>
          <w:szCs w:val="24"/>
        </w:rPr>
        <w:t>Department Approved 1</w:t>
      </w:r>
      <w:r w:rsidRPr="00CF5B71">
        <w:rPr>
          <w:rFonts w:ascii="Times New Roman" w:hAnsi="Times New Roman" w:cs="Times New Roman"/>
          <w:b/>
          <w:bCs/>
          <w:sz w:val="24"/>
          <w:szCs w:val="24"/>
        </w:rPr>
        <w:t>0</w:t>
      </w:r>
      <w:r w:rsidRPr="00CF5B71">
        <w:rPr>
          <w:rFonts w:ascii="Times New Roman" w:hAnsi="Times New Roman" w:cs="Times New Roman"/>
          <w:b/>
          <w:bCs/>
          <w:sz w:val="24"/>
          <w:szCs w:val="24"/>
        </w:rPr>
        <w:t>/1</w:t>
      </w:r>
      <w:r w:rsidRPr="00CF5B71">
        <w:rPr>
          <w:rFonts w:ascii="Times New Roman" w:hAnsi="Times New Roman" w:cs="Times New Roman"/>
          <w:b/>
          <w:bCs/>
          <w:sz w:val="24"/>
          <w:szCs w:val="24"/>
        </w:rPr>
        <w:t>9</w:t>
      </w:r>
      <w:r w:rsidRPr="00CF5B71">
        <w:rPr>
          <w:rFonts w:ascii="Times New Roman" w:hAnsi="Times New Roman" w:cs="Times New Roman"/>
          <w:b/>
          <w:bCs/>
          <w:sz w:val="24"/>
          <w:szCs w:val="24"/>
        </w:rPr>
        <w:t>/2022</w:t>
      </w:r>
    </w:p>
    <w:p w14:paraId="636A658B" w14:textId="77777777" w:rsidR="00CF5B71" w:rsidRPr="00CF5B71" w:rsidRDefault="00CF5B71" w:rsidP="00CF5B71">
      <w:pPr>
        <w:jc w:val="center"/>
        <w:rPr>
          <w:rFonts w:ascii="Times New Roman" w:hAnsi="Times New Roman" w:cs="Times New Roman"/>
          <w:b/>
          <w:bCs/>
          <w:sz w:val="24"/>
          <w:szCs w:val="24"/>
        </w:rPr>
      </w:pPr>
      <w:r w:rsidRPr="00CF5B71">
        <w:rPr>
          <w:rFonts w:ascii="Times New Roman" w:hAnsi="Times New Roman" w:cs="Times New Roman"/>
          <w:b/>
          <w:bCs/>
          <w:sz w:val="24"/>
          <w:szCs w:val="24"/>
        </w:rPr>
        <w:t>Office of the Provost: received 01/03/2023; reviewed 02/03/2023; Final Approval 02/23/2023</w:t>
      </w:r>
    </w:p>
    <w:p w14:paraId="03C67A77" w14:textId="3A146D1B" w:rsidR="00CF5B71" w:rsidRPr="00CF5B71" w:rsidRDefault="00CF5B71" w:rsidP="00CF5B71">
      <w:pPr>
        <w:jc w:val="center"/>
        <w:rPr>
          <w:rFonts w:ascii="Times New Roman" w:hAnsi="Times New Roman" w:cs="Times New Roman"/>
          <w:color w:val="C00000"/>
          <w:sz w:val="24"/>
          <w:szCs w:val="24"/>
        </w:rPr>
      </w:pPr>
      <w:r w:rsidRPr="00CF5B71">
        <w:rPr>
          <w:rFonts w:ascii="Times New Roman" w:hAnsi="Times New Roman" w:cs="Times New Roman"/>
          <w:color w:val="C00000"/>
          <w:sz w:val="24"/>
          <w:szCs w:val="24"/>
        </w:rPr>
        <w:t>For Tenure-track faculty, see the Variable Workload Guidelines</w:t>
      </w:r>
    </w:p>
    <w:p w14:paraId="3CAA7476" w14:textId="77777777" w:rsidR="00CF5B71" w:rsidRPr="00CF5B71" w:rsidRDefault="00CF5B71" w:rsidP="00CF5B71">
      <w:pPr>
        <w:rPr>
          <w:rFonts w:ascii="Times New Roman" w:hAnsi="Times New Roman" w:cs="Times New Roman"/>
          <w:sz w:val="24"/>
          <w:szCs w:val="24"/>
        </w:rPr>
      </w:pPr>
    </w:p>
    <w:p w14:paraId="44CBDFB4" w14:textId="7F9596B9" w:rsidR="0065630B"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This course equivalency policy for Biomedical Engineering and Electrical Engineering courses is founded on each faculty member’s responsibility to maintain delivery of a rigorous and experiential curriculum to our students, while allowing adequate time to pursue high quality research and perform meaningful</w:t>
      </w:r>
      <w:r w:rsidRPr="00CF5B71">
        <w:rPr>
          <w:rFonts w:ascii="Times New Roman" w:hAnsi="Times New Roman" w:cs="Times New Roman"/>
          <w:color w:val="000000" w:themeColor="text1"/>
          <w:spacing w:val="-11"/>
          <w:sz w:val="24"/>
          <w:szCs w:val="24"/>
        </w:rPr>
        <w:t xml:space="preserve"> </w:t>
      </w:r>
      <w:r w:rsidRPr="00CF5B71">
        <w:rPr>
          <w:rFonts w:ascii="Times New Roman" w:hAnsi="Times New Roman" w:cs="Times New Roman"/>
          <w:color w:val="000000" w:themeColor="text1"/>
          <w:sz w:val="24"/>
          <w:szCs w:val="24"/>
        </w:rPr>
        <w:t>service.</w:t>
      </w:r>
      <w:r w:rsidR="00D40841" w:rsidRPr="00CF5B71">
        <w:rPr>
          <w:rFonts w:ascii="Times New Roman" w:hAnsi="Times New Roman" w:cs="Times New Roman"/>
          <w:color w:val="000000" w:themeColor="text1"/>
          <w:sz w:val="24"/>
          <w:szCs w:val="24"/>
        </w:rPr>
        <w:t xml:space="preserve"> It applies to online courses, hybrid courses, and in person courses.</w:t>
      </w:r>
    </w:p>
    <w:p w14:paraId="28C42A99" w14:textId="77777777" w:rsidR="00CF5B71" w:rsidRPr="00CF5B71" w:rsidRDefault="00CF5B71" w:rsidP="00CF5B71">
      <w:pPr>
        <w:pStyle w:val="ListParagraph"/>
        <w:spacing w:before="0"/>
        <w:ind w:left="360" w:right="-20" w:firstLine="0"/>
        <w:rPr>
          <w:rFonts w:ascii="Times New Roman" w:hAnsi="Times New Roman" w:cs="Times New Roman"/>
          <w:color w:val="000000" w:themeColor="text1"/>
          <w:sz w:val="24"/>
          <w:szCs w:val="24"/>
        </w:rPr>
      </w:pPr>
    </w:p>
    <w:p w14:paraId="49D1594D" w14:textId="77777777" w:rsidR="00CF5B71"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In general, each faculty member is expected to teach at least one required undergraduate course per academic year. In addition, each faculty member is expected to teach at least one elective each year. Tenure-track faculty are expected to teach at least one graduate-only course at least every two</w:t>
      </w:r>
      <w:r w:rsidRPr="00CF5B71">
        <w:rPr>
          <w:rFonts w:ascii="Times New Roman" w:hAnsi="Times New Roman" w:cs="Times New Roman"/>
          <w:color w:val="000000" w:themeColor="text1"/>
          <w:spacing w:val="-11"/>
          <w:sz w:val="24"/>
          <w:szCs w:val="24"/>
        </w:rPr>
        <w:t xml:space="preserve"> </w:t>
      </w:r>
      <w:r w:rsidRPr="00CF5B71">
        <w:rPr>
          <w:rFonts w:ascii="Times New Roman" w:hAnsi="Times New Roman" w:cs="Times New Roman"/>
          <w:color w:val="000000" w:themeColor="text1"/>
          <w:sz w:val="24"/>
          <w:szCs w:val="24"/>
        </w:rPr>
        <w:t>years.</w:t>
      </w:r>
    </w:p>
    <w:p w14:paraId="7F5BB357" w14:textId="77777777" w:rsidR="00CF5B71" w:rsidRPr="00CF5B71" w:rsidRDefault="00CF5B71" w:rsidP="00CF5B71">
      <w:pPr>
        <w:ind w:left="360" w:right="-20"/>
        <w:rPr>
          <w:rFonts w:ascii="Times New Roman" w:hAnsi="Times New Roman" w:cs="Times New Roman"/>
          <w:color w:val="000000" w:themeColor="text1"/>
          <w:sz w:val="24"/>
          <w:szCs w:val="24"/>
        </w:rPr>
      </w:pPr>
    </w:p>
    <w:p w14:paraId="4DAAE5BB" w14:textId="198262BC" w:rsidR="00CF5B71" w:rsidRPr="00CF5B71"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In general, an established faculty member is expected to routinely update the courses that they teach and may have a new course preparation once every two</w:t>
      </w:r>
      <w:r w:rsidRPr="00CF5B71">
        <w:rPr>
          <w:rFonts w:ascii="Times New Roman" w:hAnsi="Times New Roman" w:cs="Times New Roman"/>
          <w:color w:val="000000" w:themeColor="text1"/>
          <w:spacing w:val="-26"/>
          <w:sz w:val="24"/>
          <w:szCs w:val="24"/>
        </w:rPr>
        <w:t xml:space="preserve"> </w:t>
      </w:r>
      <w:r w:rsidRPr="00CF5B71">
        <w:rPr>
          <w:rFonts w:ascii="Times New Roman" w:hAnsi="Times New Roman" w:cs="Times New Roman"/>
          <w:color w:val="000000" w:themeColor="text1"/>
          <w:sz w:val="24"/>
          <w:szCs w:val="24"/>
        </w:rPr>
        <w:t>years.</w:t>
      </w:r>
    </w:p>
    <w:p w14:paraId="3271AA9C" w14:textId="77777777" w:rsidR="00CF5B71" w:rsidRPr="00CF5B71" w:rsidRDefault="00CF5B71" w:rsidP="00CF5B71">
      <w:pPr>
        <w:pStyle w:val="ListParagraph"/>
        <w:spacing w:before="0"/>
        <w:ind w:left="360" w:right="-20" w:firstLine="0"/>
        <w:rPr>
          <w:rFonts w:ascii="Times New Roman" w:hAnsi="Times New Roman" w:cs="Times New Roman"/>
          <w:color w:val="000000" w:themeColor="text1"/>
          <w:sz w:val="24"/>
          <w:szCs w:val="24"/>
        </w:rPr>
      </w:pPr>
    </w:p>
    <w:p w14:paraId="03ED4F4C" w14:textId="28E63F41" w:rsidR="00CF5B71"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In general, a course equivalency of 1.0 represents a 12% work-load effort. For example, a faculty member with an annual teaching workload comprising 36% of their total effort, is expected to teach three (3.0) course equivalents per</w:t>
      </w:r>
      <w:r w:rsidRPr="00CF5B71">
        <w:rPr>
          <w:rFonts w:ascii="Times New Roman" w:hAnsi="Times New Roman" w:cs="Times New Roman"/>
          <w:color w:val="000000" w:themeColor="text1"/>
          <w:spacing w:val="-13"/>
          <w:sz w:val="24"/>
          <w:szCs w:val="24"/>
        </w:rPr>
        <w:t xml:space="preserve"> </w:t>
      </w:r>
      <w:r w:rsidRPr="00CF5B71">
        <w:rPr>
          <w:rFonts w:ascii="Times New Roman" w:hAnsi="Times New Roman" w:cs="Times New Roman"/>
          <w:color w:val="000000" w:themeColor="text1"/>
          <w:sz w:val="24"/>
          <w:szCs w:val="24"/>
        </w:rPr>
        <w:t>annum.</w:t>
      </w:r>
    </w:p>
    <w:p w14:paraId="4207BCF9" w14:textId="77777777" w:rsidR="00CF5B71" w:rsidRPr="00CF5B71" w:rsidRDefault="00CF5B71" w:rsidP="00CF5B71">
      <w:pPr>
        <w:ind w:left="450" w:right="-20"/>
        <w:rPr>
          <w:rFonts w:ascii="Times New Roman" w:hAnsi="Times New Roman" w:cs="Times New Roman"/>
          <w:color w:val="000000" w:themeColor="text1"/>
          <w:sz w:val="24"/>
          <w:szCs w:val="24"/>
        </w:rPr>
      </w:pPr>
    </w:p>
    <w:p w14:paraId="76A83F51" w14:textId="77777777" w:rsidR="00CF5B71"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Note that externally funded research may provide a course release from the annually agreed upon work-load arrangement</w:t>
      </w:r>
      <w:r w:rsidR="00F400FC" w:rsidRPr="00CF5B71">
        <w:rPr>
          <w:rFonts w:ascii="Times New Roman" w:hAnsi="Times New Roman" w:cs="Times New Roman"/>
          <w:color w:val="000000" w:themeColor="text1"/>
          <w:sz w:val="24"/>
          <w:szCs w:val="24"/>
        </w:rPr>
        <w:t xml:space="preserve"> guided by the variable workload guidelines in the appendix</w:t>
      </w:r>
      <w:r w:rsidRPr="00CF5B71">
        <w:rPr>
          <w:rFonts w:ascii="Times New Roman" w:hAnsi="Times New Roman" w:cs="Times New Roman"/>
          <w:color w:val="000000" w:themeColor="text1"/>
          <w:sz w:val="24"/>
          <w:szCs w:val="24"/>
        </w:rPr>
        <w:t xml:space="preserve">. Any releases need to be discussed and approved by the Chair the Spring prior to a given academic year. Faculty should reference the CEMS Faculty Workload and Teaching Policy for </w:t>
      </w:r>
      <w:r w:rsidR="00F400FC" w:rsidRPr="00CF5B71">
        <w:rPr>
          <w:rFonts w:ascii="Times New Roman" w:hAnsi="Times New Roman" w:cs="Times New Roman"/>
          <w:color w:val="000000" w:themeColor="text1"/>
          <w:sz w:val="24"/>
          <w:szCs w:val="24"/>
        </w:rPr>
        <w:t xml:space="preserve">course </w:t>
      </w:r>
      <w:r w:rsidRPr="00CF5B71">
        <w:rPr>
          <w:rFonts w:ascii="Times New Roman" w:hAnsi="Times New Roman" w:cs="Times New Roman"/>
          <w:color w:val="000000" w:themeColor="text1"/>
          <w:sz w:val="24"/>
          <w:szCs w:val="24"/>
        </w:rPr>
        <w:t>buyout</w:t>
      </w:r>
      <w:r w:rsidRPr="00CF5B71">
        <w:rPr>
          <w:rFonts w:ascii="Times New Roman" w:hAnsi="Times New Roman" w:cs="Times New Roman"/>
          <w:color w:val="000000" w:themeColor="text1"/>
          <w:spacing w:val="-14"/>
          <w:sz w:val="24"/>
          <w:szCs w:val="24"/>
        </w:rPr>
        <w:t xml:space="preserve"> </w:t>
      </w:r>
      <w:r w:rsidRPr="00CF5B71">
        <w:rPr>
          <w:rFonts w:ascii="Times New Roman" w:hAnsi="Times New Roman" w:cs="Times New Roman"/>
          <w:color w:val="000000" w:themeColor="text1"/>
          <w:sz w:val="24"/>
          <w:szCs w:val="24"/>
        </w:rPr>
        <w:t>details.</w:t>
      </w:r>
    </w:p>
    <w:p w14:paraId="2F920B6D" w14:textId="77777777" w:rsidR="00CF5B71" w:rsidRPr="00CF5B71" w:rsidRDefault="00CF5B71" w:rsidP="00CF5B71">
      <w:pPr>
        <w:ind w:left="360" w:right="-20"/>
        <w:rPr>
          <w:rFonts w:ascii="Times New Roman" w:hAnsi="Times New Roman" w:cs="Times New Roman"/>
          <w:color w:val="000000" w:themeColor="text1"/>
          <w:sz w:val="24"/>
          <w:szCs w:val="24"/>
        </w:rPr>
      </w:pPr>
    </w:p>
    <w:p w14:paraId="4135FD80" w14:textId="77777777" w:rsidR="00CF5B71"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In general, a 1.0 course equivalency equates to a lecture-based, 3-credit 0xx, 1xx, 2xx, or 3xx-level course section that is run (and generally requires meeting a minimum enrollment of 20, 15, 10, or 5 students, respectively) without a teaching</w:t>
      </w:r>
      <w:r w:rsidRPr="00CF5B71">
        <w:rPr>
          <w:rFonts w:ascii="Times New Roman" w:hAnsi="Times New Roman" w:cs="Times New Roman"/>
          <w:color w:val="000000" w:themeColor="text1"/>
          <w:spacing w:val="-30"/>
          <w:sz w:val="24"/>
          <w:szCs w:val="24"/>
        </w:rPr>
        <w:t xml:space="preserve"> </w:t>
      </w:r>
      <w:r w:rsidRPr="00CF5B71">
        <w:rPr>
          <w:rFonts w:ascii="Times New Roman" w:hAnsi="Times New Roman" w:cs="Times New Roman"/>
          <w:color w:val="000000" w:themeColor="text1"/>
          <w:sz w:val="24"/>
          <w:szCs w:val="24"/>
        </w:rPr>
        <w:t>assistant.</w:t>
      </w:r>
    </w:p>
    <w:p w14:paraId="4F4AFF80" w14:textId="77777777" w:rsidR="00CF5B71" w:rsidRPr="00CF5B71" w:rsidRDefault="00CF5B71" w:rsidP="00CF5B71">
      <w:pPr>
        <w:ind w:left="360" w:right="-20"/>
        <w:rPr>
          <w:rFonts w:ascii="Times New Roman" w:hAnsi="Times New Roman" w:cs="Times New Roman"/>
          <w:color w:val="000000" w:themeColor="text1"/>
          <w:sz w:val="24"/>
          <w:szCs w:val="24"/>
        </w:rPr>
      </w:pPr>
    </w:p>
    <w:p w14:paraId="03745A42" w14:textId="1A837BED" w:rsidR="0065630B" w:rsidRPr="00CF5B71"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Course equivalencies of 1, 2, 3, 4 and 6-credit courses with laboratory components are generally determined by the Department Chairperson based upon factors such as, but not limited</w:t>
      </w:r>
      <w:r w:rsidRPr="00CF5B71">
        <w:rPr>
          <w:rFonts w:ascii="Times New Roman" w:hAnsi="Times New Roman" w:cs="Times New Roman"/>
          <w:color w:val="000000" w:themeColor="text1"/>
          <w:spacing w:val="-3"/>
          <w:sz w:val="24"/>
          <w:szCs w:val="24"/>
        </w:rPr>
        <w:t xml:space="preserve"> </w:t>
      </w:r>
      <w:r w:rsidRPr="00CF5B71">
        <w:rPr>
          <w:rFonts w:ascii="Times New Roman" w:hAnsi="Times New Roman" w:cs="Times New Roman"/>
          <w:color w:val="000000" w:themeColor="text1"/>
          <w:sz w:val="24"/>
          <w:szCs w:val="24"/>
        </w:rPr>
        <w:t>to:</w:t>
      </w:r>
    </w:p>
    <w:p w14:paraId="21B73F0A" w14:textId="77777777" w:rsidR="0065630B" w:rsidRPr="00CF5B71" w:rsidRDefault="00EF5C7A" w:rsidP="00CF5B71">
      <w:pPr>
        <w:pStyle w:val="ListParagraph"/>
        <w:numPr>
          <w:ilvl w:val="1"/>
          <w:numId w:val="2"/>
        </w:numPr>
        <w:spacing w:before="0"/>
        <w:ind w:left="72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the number of laboratory sections being</w:t>
      </w:r>
      <w:r w:rsidRPr="00CF5B71">
        <w:rPr>
          <w:rFonts w:ascii="Times New Roman" w:hAnsi="Times New Roman" w:cs="Times New Roman"/>
          <w:color w:val="000000" w:themeColor="text1"/>
          <w:spacing w:val="-7"/>
          <w:sz w:val="24"/>
          <w:szCs w:val="24"/>
        </w:rPr>
        <w:t xml:space="preserve"> </w:t>
      </w:r>
      <w:r w:rsidRPr="00CF5B71">
        <w:rPr>
          <w:rFonts w:ascii="Times New Roman" w:hAnsi="Times New Roman" w:cs="Times New Roman"/>
          <w:color w:val="000000" w:themeColor="text1"/>
          <w:sz w:val="24"/>
          <w:szCs w:val="24"/>
        </w:rPr>
        <w:t>run,</w:t>
      </w:r>
    </w:p>
    <w:p w14:paraId="0DFA2ACB" w14:textId="77777777" w:rsidR="0065630B" w:rsidRPr="00CF5B71" w:rsidRDefault="00EF5C7A" w:rsidP="00CF5B71">
      <w:pPr>
        <w:pStyle w:val="ListParagraph"/>
        <w:numPr>
          <w:ilvl w:val="1"/>
          <w:numId w:val="2"/>
        </w:numPr>
        <w:spacing w:before="0"/>
        <w:ind w:left="72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the method of instructional</w:t>
      </w:r>
      <w:r w:rsidRPr="00CF5B71">
        <w:rPr>
          <w:rFonts w:ascii="Times New Roman" w:hAnsi="Times New Roman" w:cs="Times New Roman"/>
          <w:color w:val="000000" w:themeColor="text1"/>
          <w:spacing w:val="-5"/>
          <w:sz w:val="24"/>
          <w:szCs w:val="24"/>
        </w:rPr>
        <w:t xml:space="preserve"> </w:t>
      </w:r>
      <w:r w:rsidRPr="00CF5B71">
        <w:rPr>
          <w:rFonts w:ascii="Times New Roman" w:hAnsi="Times New Roman" w:cs="Times New Roman"/>
          <w:color w:val="000000" w:themeColor="text1"/>
          <w:sz w:val="24"/>
          <w:szCs w:val="24"/>
        </w:rPr>
        <w:t>delivery,</w:t>
      </w:r>
    </w:p>
    <w:p w14:paraId="51485E26" w14:textId="77777777" w:rsidR="0065630B" w:rsidRPr="00CF5B71" w:rsidRDefault="00EF5C7A" w:rsidP="00CF5B71">
      <w:pPr>
        <w:pStyle w:val="ListParagraph"/>
        <w:numPr>
          <w:ilvl w:val="1"/>
          <w:numId w:val="2"/>
        </w:numPr>
        <w:spacing w:before="0"/>
        <w:ind w:left="72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the provided teaching support (e.g., teaching and/or lab assistants, etc.),</w:t>
      </w:r>
      <w:r w:rsidRPr="00CF5B71">
        <w:rPr>
          <w:rFonts w:ascii="Times New Roman" w:hAnsi="Times New Roman" w:cs="Times New Roman"/>
          <w:color w:val="000000" w:themeColor="text1"/>
          <w:spacing w:val="-24"/>
          <w:sz w:val="24"/>
          <w:szCs w:val="24"/>
        </w:rPr>
        <w:t xml:space="preserve"> </w:t>
      </w:r>
      <w:r w:rsidRPr="00CF5B71">
        <w:rPr>
          <w:rFonts w:ascii="Times New Roman" w:hAnsi="Times New Roman" w:cs="Times New Roman"/>
          <w:color w:val="000000" w:themeColor="text1"/>
          <w:sz w:val="24"/>
          <w:szCs w:val="24"/>
        </w:rPr>
        <w:t>and</w:t>
      </w:r>
    </w:p>
    <w:p w14:paraId="6050BEAE" w14:textId="77777777" w:rsidR="0065630B" w:rsidRPr="00CF5B71" w:rsidRDefault="00EF5C7A" w:rsidP="00CF5B71">
      <w:pPr>
        <w:pStyle w:val="ListParagraph"/>
        <w:numPr>
          <w:ilvl w:val="1"/>
          <w:numId w:val="2"/>
        </w:numPr>
        <w:spacing w:before="0"/>
        <w:ind w:left="72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course</w:t>
      </w:r>
      <w:r w:rsidRPr="00CF5B71">
        <w:rPr>
          <w:rFonts w:ascii="Times New Roman" w:hAnsi="Times New Roman" w:cs="Times New Roman"/>
          <w:color w:val="000000" w:themeColor="text1"/>
          <w:spacing w:val="-2"/>
          <w:sz w:val="24"/>
          <w:szCs w:val="24"/>
        </w:rPr>
        <w:t xml:space="preserve"> </w:t>
      </w:r>
      <w:r w:rsidRPr="00CF5B71">
        <w:rPr>
          <w:rFonts w:ascii="Times New Roman" w:hAnsi="Times New Roman" w:cs="Times New Roman"/>
          <w:color w:val="000000" w:themeColor="text1"/>
          <w:sz w:val="24"/>
          <w:szCs w:val="24"/>
        </w:rPr>
        <w:t>enrollment</w:t>
      </w:r>
    </w:p>
    <w:p w14:paraId="194E12D9" w14:textId="77777777" w:rsidR="00CF5B71" w:rsidRDefault="00CF5B71" w:rsidP="00CF5B71">
      <w:pPr>
        <w:pStyle w:val="ListParagraph"/>
        <w:spacing w:before="0"/>
        <w:ind w:left="360" w:right="-20" w:firstLine="0"/>
        <w:rPr>
          <w:rFonts w:ascii="Times New Roman" w:hAnsi="Times New Roman" w:cs="Times New Roman"/>
          <w:color w:val="000000" w:themeColor="text1"/>
          <w:sz w:val="24"/>
          <w:szCs w:val="24"/>
        </w:rPr>
      </w:pPr>
    </w:p>
    <w:p w14:paraId="2B0206FA" w14:textId="4FF58722" w:rsidR="00CF5B71"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 xml:space="preserve">Because EBE courses range from 1 to 6 credit hours, there can also be a range of credit hours associated with a particular faculty member’s course load. For example, a ``2-2’’ course load can be met with a credit hour total ranging from 11 to 14 credit hours which, in turn, could translate into between 2 to 5 distinct classes or sections (with 4 being nominal).  In addition, courses with enrollments exceeding 80 students will be considered to have twice the nominally </w:t>
      </w:r>
      <w:r w:rsidRPr="00CF5B71">
        <w:rPr>
          <w:rFonts w:ascii="Times New Roman" w:hAnsi="Times New Roman" w:cs="Times New Roman"/>
          <w:color w:val="000000" w:themeColor="text1"/>
          <w:sz w:val="24"/>
          <w:szCs w:val="24"/>
        </w:rPr>
        <w:lastRenderedPageBreak/>
        <w:t>allocated course equivalency. Likewise, 6-credit courses will be considered to have twice the course equivalency allocated to 3-credit courses having the same enrollment. For non-lab courses, there may be adjustments to this equivalency per the attached</w:t>
      </w:r>
      <w:r w:rsidRPr="00CF5B71">
        <w:rPr>
          <w:rFonts w:ascii="Times New Roman" w:hAnsi="Times New Roman" w:cs="Times New Roman"/>
          <w:color w:val="000000" w:themeColor="text1"/>
          <w:spacing w:val="-6"/>
          <w:sz w:val="24"/>
          <w:szCs w:val="24"/>
        </w:rPr>
        <w:t xml:space="preserve"> </w:t>
      </w:r>
      <w:r w:rsidRPr="00CF5B71">
        <w:rPr>
          <w:rFonts w:ascii="Times New Roman" w:hAnsi="Times New Roman" w:cs="Times New Roman"/>
          <w:color w:val="000000" w:themeColor="text1"/>
          <w:sz w:val="24"/>
          <w:szCs w:val="24"/>
        </w:rPr>
        <w:t>guidelines.</w:t>
      </w:r>
    </w:p>
    <w:p w14:paraId="5D7361B7" w14:textId="77777777" w:rsidR="00CF5B71" w:rsidRDefault="00CF5B71" w:rsidP="00CF5B71">
      <w:pPr>
        <w:pStyle w:val="ListParagraph"/>
        <w:spacing w:before="0"/>
        <w:ind w:left="360" w:right="-20" w:firstLine="0"/>
        <w:rPr>
          <w:rFonts w:ascii="Times New Roman" w:hAnsi="Times New Roman" w:cs="Times New Roman"/>
          <w:color w:val="000000" w:themeColor="text1"/>
          <w:sz w:val="24"/>
          <w:szCs w:val="24"/>
        </w:rPr>
      </w:pPr>
    </w:p>
    <w:p w14:paraId="213DC8A7" w14:textId="19654777" w:rsidR="00CF5B71" w:rsidRDefault="006A4EA5"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F</w:t>
      </w:r>
      <w:r w:rsidR="00EF5C7A" w:rsidRPr="00CF5B71">
        <w:rPr>
          <w:rFonts w:ascii="Times New Roman" w:hAnsi="Times New Roman" w:cs="Times New Roman"/>
          <w:color w:val="000000" w:themeColor="text1"/>
          <w:sz w:val="24"/>
          <w:szCs w:val="24"/>
        </w:rPr>
        <w:t xml:space="preserve">aculty who </w:t>
      </w:r>
      <w:proofErr w:type="gramStart"/>
      <w:r w:rsidR="00EF5C7A" w:rsidRPr="00CF5B71">
        <w:rPr>
          <w:rFonts w:ascii="Times New Roman" w:hAnsi="Times New Roman" w:cs="Times New Roman"/>
          <w:color w:val="000000" w:themeColor="text1"/>
          <w:sz w:val="24"/>
          <w:szCs w:val="24"/>
        </w:rPr>
        <w:t>teach</w:t>
      </w:r>
      <w:proofErr w:type="gramEnd"/>
      <w:r w:rsidR="00EF5C7A" w:rsidRPr="00CF5B71">
        <w:rPr>
          <w:rFonts w:ascii="Times New Roman" w:hAnsi="Times New Roman" w:cs="Times New Roman"/>
          <w:color w:val="000000" w:themeColor="text1"/>
          <w:sz w:val="24"/>
          <w:szCs w:val="24"/>
        </w:rPr>
        <w:t xml:space="preserve"> more than </w:t>
      </w:r>
      <w:r w:rsidR="002D69FD" w:rsidRPr="00CF5B71">
        <w:rPr>
          <w:rFonts w:ascii="Times New Roman" w:hAnsi="Times New Roman" w:cs="Times New Roman"/>
          <w:color w:val="000000" w:themeColor="text1"/>
          <w:sz w:val="24"/>
          <w:szCs w:val="24"/>
        </w:rPr>
        <w:t>700</w:t>
      </w:r>
      <w:r w:rsidR="00EF5C7A" w:rsidRPr="00CF5B71">
        <w:rPr>
          <w:rFonts w:ascii="Times New Roman" w:hAnsi="Times New Roman" w:cs="Times New Roman"/>
          <w:color w:val="000000" w:themeColor="text1"/>
          <w:sz w:val="24"/>
          <w:szCs w:val="24"/>
        </w:rPr>
        <w:t xml:space="preserve"> student credit hours (SCH) </w:t>
      </w:r>
      <w:r w:rsidR="002D47C2" w:rsidRPr="00CF5B71">
        <w:rPr>
          <w:rFonts w:ascii="Times New Roman" w:hAnsi="Times New Roman" w:cs="Times New Roman"/>
          <w:color w:val="000000" w:themeColor="text1"/>
          <w:sz w:val="24"/>
          <w:szCs w:val="24"/>
        </w:rPr>
        <w:t xml:space="preserve">on load calculated after the add drop date </w:t>
      </w:r>
      <w:r w:rsidR="00EF5C7A" w:rsidRPr="00CF5B71">
        <w:rPr>
          <w:rFonts w:ascii="Times New Roman" w:hAnsi="Times New Roman" w:cs="Times New Roman"/>
          <w:color w:val="000000" w:themeColor="text1"/>
          <w:sz w:val="24"/>
          <w:szCs w:val="24"/>
        </w:rPr>
        <w:t>in a single</w:t>
      </w:r>
      <w:r w:rsidR="00EF5C7A" w:rsidRPr="00CF5B71">
        <w:rPr>
          <w:rFonts w:ascii="Times New Roman" w:hAnsi="Times New Roman" w:cs="Times New Roman"/>
          <w:color w:val="000000" w:themeColor="text1"/>
          <w:spacing w:val="-5"/>
          <w:sz w:val="24"/>
          <w:szCs w:val="24"/>
        </w:rPr>
        <w:t xml:space="preserve"> </w:t>
      </w:r>
      <w:r w:rsidR="00EF5C7A" w:rsidRPr="00CF5B71">
        <w:rPr>
          <w:rFonts w:ascii="Times New Roman" w:hAnsi="Times New Roman" w:cs="Times New Roman"/>
          <w:color w:val="000000" w:themeColor="text1"/>
          <w:sz w:val="24"/>
          <w:szCs w:val="24"/>
        </w:rPr>
        <w:t>semester,</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will</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be</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provided</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with</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a</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one-course</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equivalency</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the</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following</w:t>
      </w:r>
      <w:r w:rsidR="00EF5C7A" w:rsidRPr="00CF5B71">
        <w:rPr>
          <w:rFonts w:ascii="Times New Roman" w:hAnsi="Times New Roman" w:cs="Times New Roman"/>
          <w:color w:val="000000" w:themeColor="text1"/>
          <w:spacing w:val="-4"/>
          <w:sz w:val="24"/>
          <w:szCs w:val="24"/>
        </w:rPr>
        <w:t xml:space="preserve"> </w:t>
      </w:r>
      <w:r w:rsidR="00EF5C7A" w:rsidRPr="00CF5B71">
        <w:rPr>
          <w:rFonts w:ascii="Times New Roman" w:hAnsi="Times New Roman" w:cs="Times New Roman"/>
          <w:color w:val="000000" w:themeColor="text1"/>
          <w:sz w:val="24"/>
          <w:szCs w:val="24"/>
        </w:rPr>
        <w:t>semester</w:t>
      </w:r>
      <w:r w:rsidR="00DE0F20" w:rsidRPr="00CF5B71">
        <w:rPr>
          <w:rFonts w:ascii="Times New Roman" w:hAnsi="Times New Roman" w:cs="Times New Roman"/>
          <w:color w:val="000000" w:themeColor="text1"/>
          <w:sz w:val="24"/>
          <w:szCs w:val="24"/>
        </w:rPr>
        <w:t xml:space="preserve"> which will count as an overload</w:t>
      </w:r>
      <w:r w:rsidR="00EF5C7A" w:rsidRPr="00CF5B71">
        <w:rPr>
          <w:rFonts w:ascii="Times New Roman" w:hAnsi="Times New Roman" w:cs="Times New Roman"/>
          <w:color w:val="000000" w:themeColor="text1"/>
          <w:sz w:val="24"/>
          <w:szCs w:val="24"/>
        </w:rPr>
        <w:t>.</w:t>
      </w:r>
      <w:r w:rsidR="002D47C2" w:rsidRPr="00CF5B71">
        <w:rPr>
          <w:rFonts w:ascii="Times New Roman" w:hAnsi="Times New Roman" w:cs="Times New Roman"/>
          <w:color w:val="000000" w:themeColor="text1"/>
          <w:sz w:val="24"/>
          <w:szCs w:val="24"/>
        </w:rPr>
        <w:t xml:space="preserve">  If a faculty member is teaching overloads, SCH are calculated from the total SCH multiplied by the appropriate ratio of onload/offload course equivalencies.</w:t>
      </w:r>
    </w:p>
    <w:p w14:paraId="64A8408A" w14:textId="77777777" w:rsidR="00CF5B71" w:rsidRDefault="00CF5B71" w:rsidP="00CF5B71">
      <w:pPr>
        <w:pStyle w:val="ListParagraph"/>
        <w:spacing w:before="0"/>
        <w:ind w:left="360" w:right="-20" w:firstLine="0"/>
        <w:rPr>
          <w:rFonts w:ascii="Times New Roman" w:hAnsi="Times New Roman" w:cs="Times New Roman"/>
          <w:color w:val="000000" w:themeColor="text1"/>
          <w:sz w:val="24"/>
          <w:szCs w:val="24"/>
        </w:rPr>
      </w:pPr>
    </w:p>
    <w:p w14:paraId="3A211B9C" w14:textId="2E78A03E" w:rsidR="0065630B" w:rsidRPr="00CF5B71" w:rsidRDefault="00EF5C7A" w:rsidP="00CF5B71">
      <w:pPr>
        <w:pStyle w:val="ListParagraph"/>
        <w:numPr>
          <w:ilvl w:val="0"/>
          <w:numId w:val="2"/>
        </w:numPr>
        <w:spacing w:before="0"/>
        <w:ind w:left="360" w:right="-20" w:hanging="36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 xml:space="preserve">Items that do </w:t>
      </w:r>
      <w:r w:rsidRPr="00CF5B71">
        <w:rPr>
          <w:rFonts w:ascii="Times New Roman" w:hAnsi="Times New Roman" w:cs="Times New Roman"/>
          <w:color w:val="000000" w:themeColor="text1"/>
          <w:sz w:val="24"/>
          <w:szCs w:val="24"/>
          <w:u w:val="single"/>
        </w:rPr>
        <w:t>not</w:t>
      </w:r>
      <w:r w:rsidRPr="00CF5B71">
        <w:rPr>
          <w:rFonts w:ascii="Times New Roman" w:hAnsi="Times New Roman" w:cs="Times New Roman"/>
          <w:color w:val="000000" w:themeColor="text1"/>
          <w:sz w:val="24"/>
          <w:szCs w:val="24"/>
        </w:rPr>
        <w:t xml:space="preserve"> count toward teaching-based course equivalency include, but are not limited</w:t>
      </w:r>
      <w:r w:rsidRPr="00CF5B71">
        <w:rPr>
          <w:rFonts w:ascii="Times New Roman" w:hAnsi="Times New Roman" w:cs="Times New Roman"/>
          <w:color w:val="000000" w:themeColor="text1"/>
          <w:spacing w:val="-2"/>
          <w:sz w:val="24"/>
          <w:szCs w:val="24"/>
        </w:rPr>
        <w:t xml:space="preserve"> </w:t>
      </w:r>
      <w:r w:rsidRPr="00CF5B71">
        <w:rPr>
          <w:rFonts w:ascii="Times New Roman" w:hAnsi="Times New Roman" w:cs="Times New Roman"/>
          <w:color w:val="000000" w:themeColor="text1"/>
          <w:sz w:val="24"/>
          <w:szCs w:val="24"/>
        </w:rPr>
        <w:t>to:</w:t>
      </w:r>
    </w:p>
    <w:p w14:paraId="232D107B" w14:textId="77777777" w:rsidR="0065630B" w:rsidRPr="00CF5B71" w:rsidRDefault="00EF5C7A" w:rsidP="00CF5B71">
      <w:pPr>
        <w:pStyle w:val="ListParagraph"/>
        <w:numPr>
          <w:ilvl w:val="1"/>
          <w:numId w:val="2"/>
        </w:numPr>
        <w:spacing w:before="0"/>
        <w:ind w:left="72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Individualized / Independent study mentoring. If more than 5 students are signed</w:t>
      </w:r>
      <w:r w:rsidRPr="00CF5B71">
        <w:rPr>
          <w:rFonts w:ascii="Times New Roman" w:hAnsi="Times New Roman" w:cs="Times New Roman"/>
          <w:color w:val="000000" w:themeColor="text1"/>
          <w:spacing w:val="-41"/>
          <w:sz w:val="24"/>
          <w:szCs w:val="24"/>
        </w:rPr>
        <w:t xml:space="preserve"> </w:t>
      </w:r>
      <w:r w:rsidRPr="00CF5B71">
        <w:rPr>
          <w:rFonts w:ascii="Times New Roman" w:hAnsi="Times New Roman" w:cs="Times New Roman"/>
          <w:color w:val="000000" w:themeColor="text1"/>
          <w:sz w:val="24"/>
          <w:szCs w:val="24"/>
        </w:rPr>
        <w:t>up for an independent study course, then a(n) (advanced) special topics course should be offered</w:t>
      </w:r>
      <w:r w:rsidRPr="00CF5B71">
        <w:rPr>
          <w:rFonts w:ascii="Times New Roman" w:hAnsi="Times New Roman" w:cs="Times New Roman"/>
          <w:color w:val="000000" w:themeColor="text1"/>
          <w:spacing w:val="-3"/>
          <w:sz w:val="24"/>
          <w:szCs w:val="24"/>
        </w:rPr>
        <w:t xml:space="preserve"> </w:t>
      </w:r>
      <w:r w:rsidRPr="00CF5B71">
        <w:rPr>
          <w:rFonts w:ascii="Times New Roman" w:hAnsi="Times New Roman" w:cs="Times New Roman"/>
          <w:color w:val="000000" w:themeColor="text1"/>
          <w:sz w:val="24"/>
          <w:szCs w:val="24"/>
        </w:rPr>
        <w:t>instead.</w:t>
      </w:r>
    </w:p>
    <w:p w14:paraId="12DE0C3D" w14:textId="77777777" w:rsidR="0065630B" w:rsidRPr="00CF5B71" w:rsidRDefault="00EF5C7A" w:rsidP="00CF5B71">
      <w:pPr>
        <w:pStyle w:val="ListParagraph"/>
        <w:numPr>
          <w:ilvl w:val="1"/>
          <w:numId w:val="2"/>
        </w:numPr>
        <w:spacing w:before="0"/>
        <w:ind w:left="72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Honors Theses or Capstone Design</w:t>
      </w:r>
      <w:r w:rsidRPr="00CF5B71">
        <w:rPr>
          <w:rFonts w:ascii="Times New Roman" w:hAnsi="Times New Roman" w:cs="Times New Roman"/>
          <w:color w:val="000000" w:themeColor="text1"/>
          <w:spacing w:val="-7"/>
          <w:sz w:val="24"/>
          <w:szCs w:val="24"/>
        </w:rPr>
        <w:t xml:space="preserve"> </w:t>
      </w:r>
      <w:r w:rsidRPr="00CF5B71">
        <w:rPr>
          <w:rFonts w:ascii="Times New Roman" w:hAnsi="Times New Roman" w:cs="Times New Roman"/>
          <w:color w:val="000000" w:themeColor="text1"/>
          <w:sz w:val="24"/>
          <w:szCs w:val="24"/>
        </w:rPr>
        <w:t>mentoring.</w:t>
      </w:r>
    </w:p>
    <w:p w14:paraId="6B88338F" w14:textId="77777777" w:rsidR="0065630B" w:rsidRPr="00CF5B71" w:rsidRDefault="00EF5C7A" w:rsidP="00CF5B71">
      <w:pPr>
        <w:pStyle w:val="ListParagraph"/>
        <w:numPr>
          <w:ilvl w:val="1"/>
          <w:numId w:val="2"/>
        </w:numPr>
        <w:spacing w:before="0"/>
        <w:ind w:left="72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Advising undergraduate and/or MS/PhD students is already accounted for in UVM Service and Research efforts,</w:t>
      </w:r>
      <w:r w:rsidRPr="00CF5B71">
        <w:rPr>
          <w:rFonts w:ascii="Times New Roman" w:hAnsi="Times New Roman" w:cs="Times New Roman"/>
          <w:color w:val="000000" w:themeColor="text1"/>
          <w:spacing w:val="-6"/>
          <w:sz w:val="24"/>
          <w:szCs w:val="24"/>
        </w:rPr>
        <w:t xml:space="preserve"> </w:t>
      </w:r>
      <w:r w:rsidRPr="00CF5B71">
        <w:rPr>
          <w:rFonts w:ascii="Times New Roman" w:hAnsi="Times New Roman" w:cs="Times New Roman"/>
          <w:color w:val="000000" w:themeColor="text1"/>
          <w:sz w:val="24"/>
          <w:szCs w:val="24"/>
        </w:rPr>
        <w:t>respectively.</w:t>
      </w:r>
    </w:p>
    <w:p w14:paraId="632EE604" w14:textId="77777777" w:rsidR="0065630B" w:rsidRPr="00CF5B71" w:rsidRDefault="00EF5C7A" w:rsidP="00CF5B71">
      <w:pPr>
        <w:pStyle w:val="ListParagraph"/>
        <w:numPr>
          <w:ilvl w:val="1"/>
          <w:numId w:val="2"/>
        </w:numPr>
        <w:spacing w:before="0"/>
        <w:ind w:left="72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Leading College or Departmental service efforts related to learning, such as the EBE graduate student seminar, is considered part of a Service</w:t>
      </w:r>
      <w:r w:rsidRPr="00CF5B71">
        <w:rPr>
          <w:rFonts w:ascii="Times New Roman" w:hAnsi="Times New Roman" w:cs="Times New Roman"/>
          <w:color w:val="000000" w:themeColor="text1"/>
          <w:spacing w:val="-14"/>
          <w:sz w:val="24"/>
          <w:szCs w:val="24"/>
        </w:rPr>
        <w:t xml:space="preserve"> </w:t>
      </w:r>
      <w:r w:rsidRPr="00CF5B71">
        <w:rPr>
          <w:rFonts w:ascii="Times New Roman" w:hAnsi="Times New Roman" w:cs="Times New Roman"/>
          <w:color w:val="000000" w:themeColor="text1"/>
          <w:sz w:val="24"/>
          <w:szCs w:val="24"/>
        </w:rPr>
        <w:t>load.</w:t>
      </w:r>
    </w:p>
    <w:p w14:paraId="193B050B" w14:textId="77777777" w:rsidR="0065630B" w:rsidRPr="00CF5B71" w:rsidRDefault="0065630B" w:rsidP="00CF5B71">
      <w:pPr>
        <w:pStyle w:val="BodyText"/>
        <w:spacing w:before="0"/>
        <w:ind w:left="0" w:right="-20" w:firstLine="0"/>
        <w:rPr>
          <w:rFonts w:ascii="Times New Roman" w:hAnsi="Times New Roman" w:cs="Times New Roman"/>
          <w:color w:val="000000" w:themeColor="text1"/>
          <w:sz w:val="24"/>
          <w:szCs w:val="24"/>
        </w:rPr>
      </w:pPr>
    </w:p>
    <w:p w14:paraId="27CC23BE" w14:textId="77777777" w:rsidR="00CF5B71" w:rsidRDefault="00EF5C7A" w:rsidP="00CF5B71">
      <w:pPr>
        <w:ind w:right="-20"/>
        <w:rPr>
          <w:rFonts w:ascii="Times New Roman" w:hAnsi="Times New Roman" w:cs="Times New Roman"/>
          <w:b/>
          <w:color w:val="000000" w:themeColor="text1"/>
          <w:sz w:val="24"/>
          <w:szCs w:val="24"/>
          <w:u w:val="single"/>
        </w:rPr>
      </w:pPr>
      <w:r w:rsidRPr="00CF5B71">
        <w:rPr>
          <w:rFonts w:ascii="Times New Roman" w:hAnsi="Times New Roman" w:cs="Times New Roman"/>
          <w:b/>
          <w:color w:val="000000" w:themeColor="text1"/>
          <w:sz w:val="24"/>
          <w:szCs w:val="24"/>
          <w:u w:val="single"/>
        </w:rPr>
        <w:t>EBE Workload Equivalency Guidelines for Large Classes without Laboratories</w:t>
      </w:r>
    </w:p>
    <w:p w14:paraId="1CA60021" w14:textId="77777777" w:rsidR="00CF5B71" w:rsidRDefault="00EF5C7A" w:rsidP="00CF5B71">
      <w:pPr>
        <w:ind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The Department is committed to high quality teaching and learning. As a result, we are committed to keeping class sizes small when possible. Small class size is defined as fewer than 40 students. Situations could arise, however, where a larger main section with smaller sections or significant graduate student teaching support will be as impactful as many small sections. For example, when there is one expert in the field, and GTAs as support will allow us to open the course to more students.</w:t>
      </w:r>
    </w:p>
    <w:p w14:paraId="1FE7C387" w14:textId="77777777" w:rsidR="00CF5B71" w:rsidRDefault="00CF5B71" w:rsidP="00CF5B71">
      <w:pPr>
        <w:ind w:right="-20"/>
        <w:rPr>
          <w:rFonts w:ascii="Times New Roman" w:hAnsi="Times New Roman" w:cs="Times New Roman"/>
          <w:color w:val="000000" w:themeColor="text1"/>
          <w:sz w:val="24"/>
          <w:szCs w:val="24"/>
        </w:rPr>
      </w:pPr>
    </w:p>
    <w:p w14:paraId="1DE24CC3" w14:textId="275FC3D0" w:rsidR="0065630B" w:rsidRPr="00CF5B71" w:rsidRDefault="00EF5C7A" w:rsidP="00CF5B71">
      <w:pPr>
        <w:ind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In cases where the Department, the Department Chair, and the Dean agree that a larger section (over 80) is the best approach for a course without a laboratory component, the following policy applies.</w:t>
      </w:r>
    </w:p>
    <w:p w14:paraId="0DA7A04C" w14:textId="77777777" w:rsidR="0065630B" w:rsidRPr="00CF5B71" w:rsidRDefault="0065630B" w:rsidP="00CF5B71">
      <w:pPr>
        <w:pStyle w:val="BodyText"/>
        <w:spacing w:before="0"/>
        <w:ind w:left="0" w:right="-20" w:firstLine="0"/>
        <w:rPr>
          <w:rFonts w:ascii="Times New Roman" w:hAnsi="Times New Roman" w:cs="Times New Roman"/>
          <w:color w:val="000000" w:themeColor="text1"/>
          <w:sz w:val="24"/>
          <w:szCs w:val="24"/>
        </w:rPr>
      </w:pPr>
    </w:p>
    <w:p w14:paraId="72BD33B6" w14:textId="77777777" w:rsidR="0065630B" w:rsidRPr="00CF5B71" w:rsidRDefault="00EF5C7A" w:rsidP="00CF5B71">
      <w:pPr>
        <w:pStyle w:val="ListParagraph"/>
        <w:numPr>
          <w:ilvl w:val="0"/>
          <w:numId w:val="1"/>
        </w:numPr>
        <w:spacing w:before="0"/>
        <w:ind w:left="36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With GTA support of 20 hours/week, the course will be equivalent to 1</w:t>
      </w:r>
      <w:r w:rsidRPr="00CF5B71">
        <w:rPr>
          <w:rFonts w:ascii="Times New Roman" w:hAnsi="Times New Roman" w:cs="Times New Roman"/>
          <w:color w:val="000000" w:themeColor="text1"/>
          <w:spacing w:val="-27"/>
          <w:sz w:val="24"/>
          <w:szCs w:val="24"/>
        </w:rPr>
        <w:t xml:space="preserve"> </w:t>
      </w:r>
      <w:r w:rsidRPr="00CF5B71">
        <w:rPr>
          <w:rFonts w:ascii="Times New Roman" w:hAnsi="Times New Roman" w:cs="Times New Roman"/>
          <w:color w:val="000000" w:themeColor="text1"/>
          <w:sz w:val="24"/>
          <w:szCs w:val="24"/>
        </w:rPr>
        <w:t>course.</w:t>
      </w:r>
    </w:p>
    <w:p w14:paraId="5F75BE7B" w14:textId="77777777" w:rsidR="0065630B" w:rsidRPr="00CF5B71" w:rsidRDefault="00EF5C7A" w:rsidP="00CF5B71">
      <w:pPr>
        <w:pStyle w:val="ListParagraph"/>
        <w:numPr>
          <w:ilvl w:val="0"/>
          <w:numId w:val="1"/>
        </w:numPr>
        <w:spacing w:before="0"/>
        <w:ind w:left="36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If the course breaks into recitations of 40 students or fewer and the recitation instructors are primarily in charge of grading, the course is equivalent to 1</w:t>
      </w:r>
      <w:r w:rsidRPr="00CF5B71">
        <w:rPr>
          <w:rFonts w:ascii="Times New Roman" w:hAnsi="Times New Roman" w:cs="Times New Roman"/>
          <w:color w:val="000000" w:themeColor="text1"/>
          <w:spacing w:val="-44"/>
          <w:sz w:val="24"/>
          <w:szCs w:val="24"/>
        </w:rPr>
        <w:t xml:space="preserve"> </w:t>
      </w:r>
      <w:r w:rsidRPr="00CF5B71">
        <w:rPr>
          <w:rFonts w:ascii="Times New Roman" w:hAnsi="Times New Roman" w:cs="Times New Roman"/>
          <w:color w:val="000000" w:themeColor="text1"/>
          <w:sz w:val="24"/>
          <w:szCs w:val="24"/>
        </w:rPr>
        <w:t>course.</w:t>
      </w:r>
    </w:p>
    <w:p w14:paraId="43196E24" w14:textId="77777777" w:rsidR="0065630B" w:rsidRPr="00CF5B71" w:rsidRDefault="00EF5C7A" w:rsidP="00CF5B71">
      <w:pPr>
        <w:pStyle w:val="ListParagraph"/>
        <w:numPr>
          <w:ilvl w:val="0"/>
          <w:numId w:val="1"/>
        </w:numPr>
        <w:spacing w:before="0"/>
        <w:ind w:left="36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For those teaching 40 student recitations (1 hour/week), each recitation is equal to 1 credit.</w:t>
      </w:r>
    </w:p>
    <w:p w14:paraId="41A345C7" w14:textId="77777777" w:rsidR="0065630B" w:rsidRPr="00CF5B71" w:rsidRDefault="00EF5C7A" w:rsidP="00CF5B71">
      <w:pPr>
        <w:pStyle w:val="ListParagraph"/>
        <w:numPr>
          <w:ilvl w:val="0"/>
          <w:numId w:val="1"/>
        </w:numPr>
        <w:spacing w:before="0"/>
        <w:ind w:left="360" w:right="-20"/>
        <w:rPr>
          <w:rFonts w:ascii="Times New Roman" w:hAnsi="Times New Roman" w:cs="Times New Roman"/>
          <w:color w:val="000000" w:themeColor="text1"/>
          <w:sz w:val="24"/>
          <w:szCs w:val="24"/>
        </w:rPr>
      </w:pPr>
      <w:r w:rsidRPr="00CF5B71">
        <w:rPr>
          <w:rFonts w:ascii="Times New Roman" w:hAnsi="Times New Roman" w:cs="Times New Roman"/>
          <w:color w:val="000000" w:themeColor="text1"/>
          <w:sz w:val="24"/>
          <w:szCs w:val="24"/>
        </w:rPr>
        <w:t>Otherwise, the course is equivalent to 2</w:t>
      </w:r>
      <w:r w:rsidRPr="00CF5B71">
        <w:rPr>
          <w:rFonts w:ascii="Times New Roman" w:hAnsi="Times New Roman" w:cs="Times New Roman"/>
          <w:color w:val="000000" w:themeColor="text1"/>
          <w:spacing w:val="-9"/>
          <w:sz w:val="24"/>
          <w:szCs w:val="24"/>
        </w:rPr>
        <w:t xml:space="preserve"> </w:t>
      </w:r>
      <w:r w:rsidRPr="00CF5B71">
        <w:rPr>
          <w:rFonts w:ascii="Times New Roman" w:hAnsi="Times New Roman" w:cs="Times New Roman"/>
          <w:color w:val="000000" w:themeColor="text1"/>
          <w:sz w:val="24"/>
          <w:szCs w:val="24"/>
        </w:rPr>
        <w:t>courses.</w:t>
      </w:r>
    </w:p>
    <w:sectPr w:rsidR="0065630B" w:rsidRPr="00CF5B71" w:rsidSect="00CF5B71">
      <w:pgSz w:w="12240" w:h="15840"/>
      <w:pgMar w:top="1400" w:right="1380" w:bottom="160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15B4" w14:textId="77777777" w:rsidR="00BD45D0" w:rsidRDefault="00BD45D0">
      <w:r>
        <w:separator/>
      </w:r>
    </w:p>
  </w:endnote>
  <w:endnote w:type="continuationSeparator" w:id="0">
    <w:p w14:paraId="04FB8FE6" w14:textId="77777777" w:rsidR="00BD45D0" w:rsidRDefault="00BD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7A09" w14:textId="77777777" w:rsidR="00BD45D0" w:rsidRDefault="00BD45D0">
      <w:r>
        <w:separator/>
      </w:r>
    </w:p>
  </w:footnote>
  <w:footnote w:type="continuationSeparator" w:id="0">
    <w:p w14:paraId="7AE52515" w14:textId="77777777" w:rsidR="00BD45D0" w:rsidRDefault="00BD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480A"/>
    <w:multiLevelType w:val="hybridMultilevel"/>
    <w:tmpl w:val="AAF28F5C"/>
    <w:lvl w:ilvl="0" w:tplc="2E6A060A">
      <w:start w:val="1"/>
      <w:numFmt w:val="decimal"/>
      <w:lvlText w:val="%1."/>
      <w:lvlJc w:val="left"/>
      <w:pPr>
        <w:ind w:left="820" w:hanging="720"/>
        <w:jc w:val="left"/>
      </w:pPr>
      <w:rPr>
        <w:rFonts w:ascii="Times New Roman" w:eastAsia="Helvetica" w:hAnsi="Times New Roman" w:cs="Times New Roman" w:hint="default"/>
        <w:spacing w:val="-1"/>
        <w:w w:val="100"/>
        <w:sz w:val="24"/>
        <w:szCs w:val="24"/>
      </w:rPr>
    </w:lvl>
    <w:lvl w:ilvl="1" w:tplc="7DE8D2A6">
      <w:numFmt w:val="bullet"/>
      <w:lvlText w:val="▪"/>
      <w:lvlJc w:val="left"/>
      <w:pPr>
        <w:ind w:left="1180" w:hanging="360"/>
      </w:pPr>
      <w:rPr>
        <w:rFonts w:ascii="Arial" w:eastAsia="Arial" w:hAnsi="Arial" w:cs="Arial" w:hint="default"/>
        <w:w w:val="129"/>
        <w:sz w:val="22"/>
        <w:szCs w:val="22"/>
      </w:rPr>
    </w:lvl>
    <w:lvl w:ilvl="2" w:tplc="D3A29896">
      <w:numFmt w:val="bullet"/>
      <w:lvlText w:val="•"/>
      <w:lvlJc w:val="left"/>
      <w:pPr>
        <w:ind w:left="2106" w:hanging="360"/>
      </w:pPr>
      <w:rPr>
        <w:rFonts w:hint="default"/>
      </w:rPr>
    </w:lvl>
    <w:lvl w:ilvl="3" w:tplc="5E4A95FA">
      <w:numFmt w:val="bullet"/>
      <w:lvlText w:val="•"/>
      <w:lvlJc w:val="left"/>
      <w:pPr>
        <w:ind w:left="3033" w:hanging="360"/>
      </w:pPr>
      <w:rPr>
        <w:rFonts w:hint="default"/>
      </w:rPr>
    </w:lvl>
    <w:lvl w:ilvl="4" w:tplc="041AA57C">
      <w:numFmt w:val="bullet"/>
      <w:lvlText w:val="•"/>
      <w:lvlJc w:val="left"/>
      <w:pPr>
        <w:ind w:left="3960" w:hanging="360"/>
      </w:pPr>
      <w:rPr>
        <w:rFonts w:hint="default"/>
      </w:rPr>
    </w:lvl>
    <w:lvl w:ilvl="5" w:tplc="0FE8946A">
      <w:numFmt w:val="bullet"/>
      <w:lvlText w:val="•"/>
      <w:lvlJc w:val="left"/>
      <w:pPr>
        <w:ind w:left="4886" w:hanging="360"/>
      </w:pPr>
      <w:rPr>
        <w:rFonts w:hint="default"/>
      </w:rPr>
    </w:lvl>
    <w:lvl w:ilvl="6" w:tplc="23DE6678">
      <w:numFmt w:val="bullet"/>
      <w:lvlText w:val="•"/>
      <w:lvlJc w:val="left"/>
      <w:pPr>
        <w:ind w:left="5813" w:hanging="360"/>
      </w:pPr>
      <w:rPr>
        <w:rFonts w:hint="default"/>
      </w:rPr>
    </w:lvl>
    <w:lvl w:ilvl="7" w:tplc="8C4CDF0E">
      <w:numFmt w:val="bullet"/>
      <w:lvlText w:val="•"/>
      <w:lvlJc w:val="left"/>
      <w:pPr>
        <w:ind w:left="6740" w:hanging="360"/>
      </w:pPr>
      <w:rPr>
        <w:rFonts w:hint="default"/>
      </w:rPr>
    </w:lvl>
    <w:lvl w:ilvl="8" w:tplc="9DAC4654">
      <w:numFmt w:val="bullet"/>
      <w:lvlText w:val="•"/>
      <w:lvlJc w:val="left"/>
      <w:pPr>
        <w:ind w:left="7666" w:hanging="360"/>
      </w:pPr>
      <w:rPr>
        <w:rFonts w:hint="default"/>
      </w:rPr>
    </w:lvl>
  </w:abstractNum>
  <w:abstractNum w:abstractNumId="1" w15:restartNumberingAfterBreak="0">
    <w:nsid w:val="51991310"/>
    <w:multiLevelType w:val="hybridMultilevel"/>
    <w:tmpl w:val="826E594A"/>
    <w:lvl w:ilvl="0" w:tplc="EF682D3C">
      <w:start w:val="1"/>
      <w:numFmt w:val="decimal"/>
      <w:lvlText w:val="%1."/>
      <w:lvlJc w:val="left"/>
      <w:pPr>
        <w:ind w:left="1180" w:hanging="360"/>
        <w:jc w:val="left"/>
      </w:pPr>
      <w:rPr>
        <w:rFonts w:ascii="Times New Roman" w:eastAsia="Helvetica" w:hAnsi="Times New Roman" w:cs="Times New Roman" w:hint="default"/>
        <w:spacing w:val="-1"/>
        <w:w w:val="100"/>
        <w:sz w:val="24"/>
        <w:szCs w:val="24"/>
      </w:rPr>
    </w:lvl>
    <w:lvl w:ilvl="1" w:tplc="4B660236">
      <w:numFmt w:val="bullet"/>
      <w:lvlText w:val="•"/>
      <w:lvlJc w:val="left"/>
      <w:pPr>
        <w:ind w:left="2014" w:hanging="360"/>
      </w:pPr>
      <w:rPr>
        <w:rFonts w:hint="default"/>
      </w:rPr>
    </w:lvl>
    <w:lvl w:ilvl="2" w:tplc="2C029406">
      <w:numFmt w:val="bullet"/>
      <w:lvlText w:val="•"/>
      <w:lvlJc w:val="left"/>
      <w:pPr>
        <w:ind w:left="2848" w:hanging="360"/>
      </w:pPr>
      <w:rPr>
        <w:rFonts w:hint="default"/>
      </w:rPr>
    </w:lvl>
    <w:lvl w:ilvl="3" w:tplc="11369240">
      <w:numFmt w:val="bullet"/>
      <w:lvlText w:val="•"/>
      <w:lvlJc w:val="left"/>
      <w:pPr>
        <w:ind w:left="3682" w:hanging="360"/>
      </w:pPr>
      <w:rPr>
        <w:rFonts w:hint="default"/>
      </w:rPr>
    </w:lvl>
    <w:lvl w:ilvl="4" w:tplc="231A12AC">
      <w:numFmt w:val="bullet"/>
      <w:lvlText w:val="•"/>
      <w:lvlJc w:val="left"/>
      <w:pPr>
        <w:ind w:left="4516" w:hanging="360"/>
      </w:pPr>
      <w:rPr>
        <w:rFonts w:hint="default"/>
      </w:rPr>
    </w:lvl>
    <w:lvl w:ilvl="5" w:tplc="B9F68AA2">
      <w:numFmt w:val="bullet"/>
      <w:lvlText w:val="•"/>
      <w:lvlJc w:val="left"/>
      <w:pPr>
        <w:ind w:left="5350" w:hanging="360"/>
      </w:pPr>
      <w:rPr>
        <w:rFonts w:hint="default"/>
      </w:rPr>
    </w:lvl>
    <w:lvl w:ilvl="6" w:tplc="106EBA1E">
      <w:numFmt w:val="bullet"/>
      <w:lvlText w:val="•"/>
      <w:lvlJc w:val="left"/>
      <w:pPr>
        <w:ind w:left="6184" w:hanging="360"/>
      </w:pPr>
      <w:rPr>
        <w:rFonts w:hint="default"/>
      </w:rPr>
    </w:lvl>
    <w:lvl w:ilvl="7" w:tplc="BB982D6C">
      <w:numFmt w:val="bullet"/>
      <w:lvlText w:val="•"/>
      <w:lvlJc w:val="left"/>
      <w:pPr>
        <w:ind w:left="7018" w:hanging="360"/>
      </w:pPr>
      <w:rPr>
        <w:rFonts w:hint="default"/>
      </w:rPr>
    </w:lvl>
    <w:lvl w:ilvl="8" w:tplc="DC929032">
      <w:numFmt w:val="bullet"/>
      <w:lvlText w:val="•"/>
      <w:lvlJc w:val="left"/>
      <w:pPr>
        <w:ind w:left="7852" w:hanging="360"/>
      </w:pPr>
      <w:rPr>
        <w:rFonts w:hint="default"/>
      </w:rPr>
    </w:lvl>
  </w:abstractNum>
  <w:num w:numId="1" w16cid:durableId="232204477">
    <w:abstractNumId w:val="1"/>
  </w:num>
  <w:num w:numId="2" w16cid:durableId="118489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0B"/>
    <w:rsid w:val="00011F8A"/>
    <w:rsid w:val="00036947"/>
    <w:rsid w:val="00046CDA"/>
    <w:rsid w:val="000D6D49"/>
    <w:rsid w:val="00124B8C"/>
    <w:rsid w:val="00145F8F"/>
    <w:rsid w:val="001A702C"/>
    <w:rsid w:val="001C31D6"/>
    <w:rsid w:val="00275901"/>
    <w:rsid w:val="002D4660"/>
    <w:rsid w:val="002D47C2"/>
    <w:rsid w:val="002D69FD"/>
    <w:rsid w:val="00313630"/>
    <w:rsid w:val="003C43C3"/>
    <w:rsid w:val="003E5EAD"/>
    <w:rsid w:val="004726AC"/>
    <w:rsid w:val="004A201E"/>
    <w:rsid w:val="004D03B6"/>
    <w:rsid w:val="00577DCD"/>
    <w:rsid w:val="00631E4E"/>
    <w:rsid w:val="0065630B"/>
    <w:rsid w:val="00695C00"/>
    <w:rsid w:val="006A4EA5"/>
    <w:rsid w:val="007019E8"/>
    <w:rsid w:val="00750124"/>
    <w:rsid w:val="00830C4D"/>
    <w:rsid w:val="00875E22"/>
    <w:rsid w:val="008967AA"/>
    <w:rsid w:val="009A2700"/>
    <w:rsid w:val="00A86AD8"/>
    <w:rsid w:val="00B146B6"/>
    <w:rsid w:val="00BD388B"/>
    <w:rsid w:val="00BD45D0"/>
    <w:rsid w:val="00BF53A9"/>
    <w:rsid w:val="00C5644F"/>
    <w:rsid w:val="00C612A2"/>
    <w:rsid w:val="00CD2697"/>
    <w:rsid w:val="00CF5B71"/>
    <w:rsid w:val="00D40841"/>
    <w:rsid w:val="00DC572E"/>
    <w:rsid w:val="00DE0F20"/>
    <w:rsid w:val="00DF659F"/>
    <w:rsid w:val="00EF5C7A"/>
    <w:rsid w:val="00F03974"/>
    <w:rsid w:val="00F400FC"/>
    <w:rsid w:val="00F56A62"/>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54F9D"/>
  <w15:docId w15:val="{90E7D521-671A-1045-BB52-8D230320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80" w:hanging="360"/>
    </w:pPr>
  </w:style>
  <w:style w:type="paragraph" w:styleId="ListParagraph">
    <w:name w:val="List Paragraph"/>
    <w:basedOn w:val="Normal"/>
    <w:uiPriority w:val="1"/>
    <w:qFormat/>
    <w:pPr>
      <w:spacing w:before="121"/>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03974"/>
    <w:rPr>
      <w:sz w:val="16"/>
      <w:szCs w:val="16"/>
    </w:rPr>
  </w:style>
  <w:style w:type="paragraph" w:styleId="CommentText">
    <w:name w:val="annotation text"/>
    <w:basedOn w:val="Normal"/>
    <w:link w:val="CommentTextChar"/>
    <w:uiPriority w:val="99"/>
    <w:unhideWhenUsed/>
    <w:rsid w:val="00F03974"/>
    <w:rPr>
      <w:sz w:val="20"/>
      <w:szCs w:val="20"/>
    </w:rPr>
  </w:style>
  <w:style w:type="character" w:customStyle="1" w:styleId="CommentTextChar">
    <w:name w:val="Comment Text Char"/>
    <w:basedOn w:val="DefaultParagraphFont"/>
    <w:link w:val="CommentText"/>
    <w:uiPriority w:val="99"/>
    <w:rsid w:val="00F03974"/>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F03974"/>
    <w:rPr>
      <w:b/>
      <w:bCs/>
    </w:rPr>
  </w:style>
  <w:style w:type="character" w:customStyle="1" w:styleId="CommentSubjectChar">
    <w:name w:val="Comment Subject Char"/>
    <w:basedOn w:val="CommentTextChar"/>
    <w:link w:val="CommentSubject"/>
    <w:uiPriority w:val="99"/>
    <w:semiHidden/>
    <w:rsid w:val="00F03974"/>
    <w:rPr>
      <w:rFonts w:ascii="Helvetica" w:eastAsia="Helvetica" w:hAnsi="Helvetica" w:cs="Helvetica"/>
      <w:b/>
      <w:bCs/>
      <w:sz w:val="20"/>
      <w:szCs w:val="20"/>
    </w:rPr>
  </w:style>
  <w:style w:type="paragraph" w:styleId="Revision">
    <w:name w:val="Revision"/>
    <w:hidden/>
    <w:uiPriority w:val="99"/>
    <w:semiHidden/>
    <w:rsid w:val="00275901"/>
    <w:pPr>
      <w:widowControl/>
      <w:autoSpaceDE/>
      <w:autoSpaceDN/>
    </w:pPr>
    <w:rPr>
      <w:rFonts w:ascii="Helvetica" w:eastAsia="Helvetica" w:hAnsi="Helvetica" w:cs="Helvetica"/>
    </w:rPr>
  </w:style>
  <w:style w:type="paragraph" w:styleId="Title">
    <w:name w:val="Title"/>
    <w:basedOn w:val="Normal"/>
    <w:link w:val="TitleChar"/>
    <w:uiPriority w:val="10"/>
    <w:qFormat/>
    <w:rsid w:val="00CF5B71"/>
    <w:pPr>
      <w:spacing w:before="87"/>
      <w:ind w:left="2527" w:right="285" w:hanging="1767"/>
    </w:pPr>
    <w:rPr>
      <w:rFonts w:ascii="Times New Roman" w:eastAsia="Times New Roman" w:hAnsi="Times New Roman" w:cs="Times New Roman"/>
      <w:b/>
      <w:bCs/>
      <w:sz w:val="31"/>
      <w:szCs w:val="31"/>
    </w:rPr>
  </w:style>
  <w:style w:type="character" w:customStyle="1" w:styleId="TitleChar">
    <w:name w:val="Title Char"/>
    <w:basedOn w:val="DefaultParagraphFont"/>
    <w:link w:val="Title"/>
    <w:uiPriority w:val="10"/>
    <w:rsid w:val="00CF5B71"/>
    <w:rPr>
      <w:rFonts w:ascii="Times New Roman" w:eastAsia="Times New Roman" w:hAnsi="Times New Roman" w:cs="Times New Roman"/>
      <w:b/>
      <w:bCs/>
      <w:sz w:val="31"/>
      <w:szCs w:val="31"/>
    </w:rPr>
  </w:style>
  <w:style w:type="paragraph" w:styleId="Header">
    <w:name w:val="header"/>
    <w:basedOn w:val="Normal"/>
    <w:link w:val="HeaderChar"/>
    <w:uiPriority w:val="99"/>
    <w:unhideWhenUsed/>
    <w:rsid w:val="00CF5B71"/>
    <w:pPr>
      <w:tabs>
        <w:tab w:val="center" w:pos="4680"/>
        <w:tab w:val="right" w:pos="9360"/>
      </w:tabs>
    </w:pPr>
  </w:style>
  <w:style w:type="character" w:customStyle="1" w:styleId="HeaderChar">
    <w:name w:val="Header Char"/>
    <w:basedOn w:val="DefaultParagraphFont"/>
    <w:link w:val="Header"/>
    <w:uiPriority w:val="99"/>
    <w:rsid w:val="00CF5B71"/>
    <w:rPr>
      <w:rFonts w:ascii="Helvetica" w:eastAsia="Helvetica" w:hAnsi="Helvetica" w:cs="Helvetica"/>
    </w:rPr>
  </w:style>
  <w:style w:type="paragraph" w:styleId="Footer">
    <w:name w:val="footer"/>
    <w:basedOn w:val="Normal"/>
    <w:link w:val="FooterChar"/>
    <w:uiPriority w:val="99"/>
    <w:unhideWhenUsed/>
    <w:rsid w:val="00CF5B71"/>
    <w:pPr>
      <w:tabs>
        <w:tab w:val="center" w:pos="4680"/>
        <w:tab w:val="right" w:pos="9360"/>
      </w:tabs>
    </w:pPr>
  </w:style>
  <w:style w:type="character" w:customStyle="1" w:styleId="FooterChar">
    <w:name w:val="Footer Char"/>
    <w:basedOn w:val="DefaultParagraphFont"/>
    <w:link w:val="Footer"/>
    <w:uiPriority w:val="99"/>
    <w:rsid w:val="00CF5B71"/>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EBE Course Equivalency Guidelines EBE approved 211220</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EBE Course Equivalency Guidelines EBE approved 211220</dc:title>
  <dc:creator>jeff frolik</dc:creator>
  <cp:lastModifiedBy>Jennifer Diaz (she/her)</cp:lastModifiedBy>
  <cp:revision>4</cp:revision>
  <cp:lastPrinted>2022-09-28T19:02:00Z</cp:lastPrinted>
  <dcterms:created xsi:type="dcterms:W3CDTF">2023-02-16T20:45:00Z</dcterms:created>
  <dcterms:modified xsi:type="dcterms:W3CDTF">2023-02-24T15:37:00Z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Word</vt:lpwstr>
  </property>
  <property fmtid="{D5CDD505-2E9C-101B-9397-08002B2CF9AE}" pid="4" name="LastSaved">
    <vt:filetime>2022-05-05T00:00:00Z</vt:filetime>
  </property>
</Properties>
</file>