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48A7EB" w14:textId="77777777" w:rsidR="00EB0CA6" w:rsidRDefault="00EB0CA6" w:rsidP="00EB0CA6">
      <w:pPr>
        <w:pStyle w:val="Title"/>
      </w:pPr>
      <w:r>
        <w:rPr>
          <w:noProof/>
        </w:rPr>
        <w:drawing>
          <wp:inline distT="0" distB="0" distL="0" distR="0" wp14:anchorId="0F22072C" wp14:editId="2779E3F3">
            <wp:extent cx="2839053" cy="1343025"/>
            <wp:effectExtent l="0" t="0" r="0" b="0"/>
            <wp:docPr id="4" name="Picture 4" descr="C:\Users\cwcallah\Dropbox\2015 FDA Regional Center Proposal\Project Folder\Logo and Branding\NECAFS Logo Color W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wcallah\Dropbox\2015 FDA Regional Center Proposal\Project Folder\Logo and Branding\NECAFS Logo Color Wid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9492" cy="1347963"/>
                    </a:xfrm>
                    <a:prstGeom prst="rect">
                      <a:avLst/>
                    </a:prstGeom>
                    <a:noFill/>
                    <a:ln>
                      <a:noFill/>
                    </a:ln>
                  </pic:spPr>
                </pic:pic>
              </a:graphicData>
            </a:graphic>
          </wp:inline>
        </w:drawing>
      </w:r>
    </w:p>
    <w:p w14:paraId="3C5EC08E" w14:textId="77777777" w:rsidR="00EB0CA6" w:rsidRDefault="00EB0CA6" w:rsidP="00EB0CA6">
      <w:pPr>
        <w:pStyle w:val="Title"/>
      </w:pPr>
    </w:p>
    <w:p w14:paraId="1A0DEDCA" w14:textId="1944E946" w:rsidR="00EB0CA6" w:rsidRDefault="00EB0CA6" w:rsidP="00EB0CA6">
      <w:pPr>
        <w:pStyle w:val="Title"/>
      </w:pPr>
      <w:r>
        <w:t>Summary Evaluation Report</w:t>
      </w:r>
    </w:p>
    <w:p w14:paraId="23682EEF" w14:textId="00A2AE60" w:rsidR="00EB0CA6" w:rsidRDefault="00EB0CA6" w:rsidP="00EB0CA6">
      <w:pPr>
        <w:pStyle w:val="Subtitle"/>
      </w:pPr>
      <w:r>
        <w:t xml:space="preserve">A Report from the Northeast Center to Advance Food Safety (NECAFS) Regarding Evaluation Conducted at </w:t>
      </w:r>
      <w:r w:rsidR="005A451A">
        <w:t xml:space="preserve">the 2019 </w:t>
      </w:r>
      <w:r>
        <w:t>NECAFS Annual Conference and Meeting.</w:t>
      </w:r>
      <w:r w:rsidR="00C35D39">
        <w:t xml:space="preserve"> </w:t>
      </w:r>
    </w:p>
    <w:p w14:paraId="6EDD446A" w14:textId="77777777" w:rsidR="00EB0CA6" w:rsidRDefault="00EB0CA6" w:rsidP="00EB0CA6">
      <w:pPr>
        <w:pStyle w:val="Subtitle"/>
      </w:pPr>
    </w:p>
    <w:p w14:paraId="39967C30" w14:textId="395683BB" w:rsidR="00EB0CA6" w:rsidRDefault="005A451A" w:rsidP="005A451A">
      <w:pPr>
        <w:pStyle w:val="Subtitle"/>
      </w:pPr>
      <w:r>
        <w:t xml:space="preserve">FDA </w:t>
      </w:r>
      <w:r w:rsidR="00EB0CA6">
        <w:t>Grant# 1R01FD005686</w:t>
      </w:r>
    </w:p>
    <w:p w14:paraId="47086730" w14:textId="4D41FEFF" w:rsidR="005A451A" w:rsidRPr="005A451A" w:rsidRDefault="005A451A" w:rsidP="005A451A">
      <w:pPr>
        <w:pStyle w:val="Subtitle"/>
      </w:pPr>
      <w:r>
        <w:t>USDA Grant# 2018-70020-28878</w:t>
      </w:r>
    </w:p>
    <w:p w14:paraId="5D2703A5" w14:textId="77777777" w:rsidR="00EB0CA6" w:rsidRDefault="00EB0CA6" w:rsidP="005A451A">
      <w:pPr>
        <w:pStyle w:val="Subtitle"/>
      </w:pPr>
      <w:r>
        <w:t>Project Title: The Northeast Center to Advance Food Safety (NECAFS)</w:t>
      </w:r>
    </w:p>
    <w:p w14:paraId="3CC3B259" w14:textId="2B380083" w:rsidR="00EB0CA6" w:rsidRDefault="005A451A" w:rsidP="005A451A">
      <w:pPr>
        <w:pStyle w:val="Subtitle"/>
      </w:pPr>
      <w:r>
        <w:t xml:space="preserve">FDA </w:t>
      </w:r>
      <w:r w:rsidR="00EB0CA6">
        <w:t>Project Performance Period: 2/20/2016-2/28/2019</w:t>
      </w:r>
    </w:p>
    <w:p w14:paraId="1E785FB5" w14:textId="2C4985B7" w:rsidR="005A451A" w:rsidRPr="005A451A" w:rsidRDefault="005A451A" w:rsidP="005A451A">
      <w:pPr>
        <w:pStyle w:val="Subtitle"/>
      </w:pPr>
      <w:r>
        <w:t>USDA Project Performance Period: 9/1/2018 – 8/31/2021</w:t>
      </w:r>
    </w:p>
    <w:p w14:paraId="558B12DC" w14:textId="53358FEB" w:rsidR="00EB0CA6" w:rsidRDefault="00EB0CA6" w:rsidP="005A451A">
      <w:pPr>
        <w:pStyle w:val="Subtitle"/>
      </w:pPr>
      <w:r>
        <w:t xml:space="preserve">Evaluation Date: </w:t>
      </w:r>
      <w:r w:rsidR="005A451A">
        <w:t>2</w:t>
      </w:r>
      <w:r>
        <w:t>/</w:t>
      </w:r>
      <w:r w:rsidR="005A451A">
        <w:t>5</w:t>
      </w:r>
      <w:r>
        <w:t>/201</w:t>
      </w:r>
      <w:r w:rsidR="005A451A">
        <w:t>9</w:t>
      </w:r>
      <w:r>
        <w:t>-</w:t>
      </w:r>
      <w:r w:rsidR="005A451A">
        <w:t>2</w:t>
      </w:r>
      <w:r>
        <w:t>/</w:t>
      </w:r>
      <w:r w:rsidR="005A451A">
        <w:t>6</w:t>
      </w:r>
      <w:r>
        <w:t>/201</w:t>
      </w:r>
      <w:r w:rsidR="005A451A">
        <w:t>9</w:t>
      </w:r>
    </w:p>
    <w:p w14:paraId="535F75FC" w14:textId="77777777" w:rsidR="00EB0CA6" w:rsidRPr="00582078" w:rsidRDefault="00EB0CA6" w:rsidP="00EB0CA6"/>
    <w:p w14:paraId="103E2C40" w14:textId="26FEC77B" w:rsidR="00EB0CA6" w:rsidRDefault="005A451A" w:rsidP="00EB0CA6">
      <w:pPr>
        <w:pStyle w:val="Subtitle"/>
      </w:pPr>
      <w:r>
        <w:t xml:space="preserve">July </w:t>
      </w:r>
      <w:r w:rsidR="00D36EAC">
        <w:t>1</w:t>
      </w:r>
      <w:r>
        <w:t>5, 2019</w:t>
      </w:r>
    </w:p>
    <w:p w14:paraId="3C3455B6" w14:textId="77777777" w:rsidR="00EB0CA6" w:rsidRDefault="00EB0CA6" w:rsidP="00EB0CA6">
      <w:pPr>
        <w:pStyle w:val="Subtitle"/>
      </w:pPr>
    </w:p>
    <w:p w14:paraId="3EC90561" w14:textId="77777777" w:rsidR="00EB0CA6" w:rsidRPr="00582078" w:rsidRDefault="00EB0CA6" w:rsidP="00EB0CA6"/>
    <w:p w14:paraId="40E0210C" w14:textId="77777777" w:rsidR="00EB0CA6" w:rsidRDefault="00EB0CA6" w:rsidP="00EB0CA6">
      <w:pPr>
        <w:pStyle w:val="Subtitle"/>
      </w:pPr>
      <w:r>
        <w:t>Christopher W. Callahan – UVM Extension, Project Director</w:t>
      </w:r>
    </w:p>
    <w:p w14:paraId="716095C9" w14:textId="63050FE8" w:rsidR="00EB0CA6" w:rsidRDefault="00EB0CA6" w:rsidP="00EB0CA6">
      <w:pPr>
        <w:pStyle w:val="Subtitle"/>
      </w:pPr>
      <w:r>
        <w:t xml:space="preserve">Elizabeth J. Newbold – UVM Extension, </w:t>
      </w:r>
      <w:r w:rsidR="00247197">
        <w:t>Assistant Director</w:t>
      </w:r>
    </w:p>
    <w:p w14:paraId="215F245A" w14:textId="77777777" w:rsidR="00EB0CA6" w:rsidRDefault="00EB0CA6" w:rsidP="00EB0CA6">
      <w:pPr>
        <w:pStyle w:val="Subtitle"/>
      </w:pPr>
      <w:r>
        <w:t>Luke F. LaBorde – Pennsylvania State University, Co-Director</w:t>
      </w:r>
    </w:p>
    <w:p w14:paraId="5A024C90" w14:textId="77777777" w:rsidR="00EB0CA6" w:rsidRDefault="00EB0CA6" w:rsidP="00EB0CA6">
      <w:pPr>
        <w:pStyle w:val="Subtitle"/>
      </w:pPr>
      <w:r>
        <w:t>Amanda J. Kinchla – University of Massachusetts, Co-Director</w:t>
      </w:r>
    </w:p>
    <w:p w14:paraId="25400F2C" w14:textId="77777777" w:rsidR="00EB0CA6" w:rsidRDefault="00EB0CA6" w:rsidP="00EB0CA6">
      <w:pPr>
        <w:pStyle w:val="Subtitle"/>
      </w:pPr>
      <w:r>
        <w:t>Elizabeth A. Bihn – Cornell University, Co-Director</w:t>
      </w:r>
    </w:p>
    <w:p w14:paraId="2592E32D" w14:textId="77777777" w:rsidR="00EB0CA6" w:rsidRPr="007E4F6E" w:rsidRDefault="00EB0CA6" w:rsidP="00EB0CA6">
      <w:pPr>
        <w:pStyle w:val="Subtitle"/>
      </w:pPr>
      <w:r>
        <w:t>Christopher S. Walsh – University of Maryland, Co-Director</w:t>
      </w:r>
    </w:p>
    <w:p w14:paraId="110FAFC2" w14:textId="76F99F75" w:rsidR="00EB0CA6" w:rsidRDefault="00EB0CA6"/>
    <w:p w14:paraId="61674243" w14:textId="23AA0895" w:rsidR="00EB0CA6" w:rsidRDefault="00EB0CA6"/>
    <w:p w14:paraId="4D180183" w14:textId="65D2371E" w:rsidR="00EB0CA6" w:rsidRDefault="00EB0CA6"/>
    <w:p w14:paraId="4C996D5D" w14:textId="77777777" w:rsidR="00EB0CA6" w:rsidRDefault="00EB0CA6"/>
    <w:p w14:paraId="262972AD" w14:textId="63ED0C60" w:rsidR="00EB0CA6" w:rsidRDefault="00EB0CA6">
      <w:r w:rsidRPr="00EB0CA6">
        <w:rPr>
          <w:sz w:val="32"/>
          <w:szCs w:val="32"/>
        </w:rPr>
        <w:t>Summary</w:t>
      </w:r>
    </w:p>
    <w:p w14:paraId="1D3055E8" w14:textId="2B36521D" w:rsidR="00F6105A" w:rsidRDefault="00F6105A" w:rsidP="00F6105A">
      <w:r>
        <w:t>Attendees at the NECAFS Annual Conference and Meeting overwhelming</w:t>
      </w:r>
      <w:r w:rsidR="00DD7BAB">
        <w:t>ly</w:t>
      </w:r>
      <w:r>
        <w:t xml:space="preserve"> reported tha</w:t>
      </w:r>
      <w:r w:rsidR="00D36EAC">
        <w:t>t they learned something new (97</w:t>
      </w:r>
      <w:r>
        <w:t>%), most notably about existing educational efforts.</w:t>
      </w:r>
      <w:r w:rsidR="00C35D39">
        <w:t xml:space="preserve"> </w:t>
      </w:r>
      <w:r>
        <w:t xml:space="preserve">This new knowledge </w:t>
      </w:r>
      <w:r w:rsidR="00DD7BAB">
        <w:t xml:space="preserve">led </w:t>
      </w:r>
      <w:r>
        <w:t>attendees to feel more prepared and informed as trainers and/or researchers</w:t>
      </w:r>
      <w:r w:rsidR="00F35E1E">
        <w:t xml:space="preserve"> and because of</w:t>
      </w:r>
      <w:r>
        <w:t xml:space="preserve"> </w:t>
      </w:r>
      <w:r w:rsidR="00F35E1E">
        <w:t xml:space="preserve">this </w:t>
      </w:r>
      <w:r>
        <w:t>comfort in</w:t>
      </w:r>
      <w:r w:rsidR="000D0E54">
        <w:t>,</w:t>
      </w:r>
      <w:r>
        <w:t xml:space="preserve"> answering questions and passing along knowledge</w:t>
      </w:r>
      <w:r w:rsidR="000D0E54">
        <w:t>,</w:t>
      </w:r>
      <w:r>
        <w:t xml:space="preserve"> they will be more effective educato</w:t>
      </w:r>
      <w:r w:rsidR="00D36EAC">
        <w:t>rs.</w:t>
      </w:r>
      <w:r w:rsidR="00C35D39">
        <w:t xml:space="preserve"> </w:t>
      </w:r>
      <w:r w:rsidR="00A83121">
        <w:t>In a post-event survey, conference attendees—regardless of their role in the produce safety community—ranked their most notable topic of new knowledge as “learning about existing educational efforts.” However, second- and third-most notable topics of new knowledge varied depending on the individual attendee’s role (educator or regulator)</w:t>
      </w:r>
      <w:r w:rsidR="00D36EAC">
        <w:t>.</w:t>
      </w:r>
      <w:r w:rsidR="00C35D39">
        <w:t xml:space="preserve"> </w:t>
      </w:r>
      <w:r w:rsidR="00D36EAC">
        <w:t>This alignment of learning by role matches the structure of the 2019 NECAFS Annual Conference and Meeting and the sessions attended by individual registrant.</w:t>
      </w:r>
      <w:r w:rsidR="005636A8">
        <w:t xml:space="preserve"> This is noteworthy since NECAFS developed programming based directly on need articulated by attendees ahead the meeting, resulting in learning that was </w:t>
      </w:r>
      <w:r w:rsidR="005636A8">
        <w:rPr>
          <w:szCs w:val="32"/>
        </w:rPr>
        <w:t>specific and contextual</w:t>
      </w:r>
      <w:r w:rsidR="005636A8">
        <w:rPr>
          <w:szCs w:val="32"/>
        </w:rPr>
        <w:t>.</w:t>
      </w:r>
      <w:r w:rsidR="00C35D39">
        <w:t xml:space="preserve"> </w:t>
      </w:r>
      <w:r w:rsidR="00D36EAC">
        <w:t>Additionally, all</w:t>
      </w:r>
      <w:r>
        <w:t xml:space="preserve"> attendees </w:t>
      </w:r>
      <w:r w:rsidR="00D36EAC">
        <w:t xml:space="preserve">stated that they </w:t>
      </w:r>
      <w:r>
        <w:t>met someone new at the Annual Conference and Meeting and reported that this new relationship will allow for enhanced networking and improved communication.</w:t>
      </w:r>
      <w:r w:rsidR="00C35D39">
        <w:t xml:space="preserve"> </w:t>
      </w:r>
      <w:r>
        <w:t>The opportunity to network with partners across the region was often cited as one of greatest benefits of attending the Annual Conference and Meeting.</w:t>
      </w:r>
      <w:r w:rsidR="00C35D39">
        <w:t xml:space="preserve"> </w:t>
      </w:r>
      <w:r>
        <w:t xml:space="preserve">Attendees reported that there are food safety challenges in our region with the leading concern </w:t>
      </w:r>
      <w:r w:rsidR="00D36EAC">
        <w:t>being a need for communication, research, education, and qualified person</w:t>
      </w:r>
      <w:r w:rsidR="00AC47CF">
        <w:t>ne</w:t>
      </w:r>
      <w:r w:rsidR="00D36EAC">
        <w:t>l</w:t>
      </w:r>
      <w:r>
        <w:t>.</w:t>
      </w:r>
      <w:r w:rsidR="00C35D39">
        <w:t xml:space="preserve"> </w:t>
      </w:r>
      <w:r>
        <w:t xml:space="preserve">The challenge arises because </w:t>
      </w:r>
      <w:r w:rsidR="00D36EAC">
        <w:t xml:space="preserve">there is, generally, a need to </w:t>
      </w:r>
      <w:r w:rsidR="00AC47CF">
        <w:t>get</w:t>
      </w:r>
      <w:r w:rsidR="00D36EAC">
        <w:t xml:space="preserve"> the audiences engaged in </w:t>
      </w:r>
      <w:r w:rsidR="00A654BD">
        <w:t>the Food Safety Modernization Act (</w:t>
      </w:r>
      <w:r w:rsidR="00D36EAC">
        <w:t>FSMA</w:t>
      </w:r>
      <w:r w:rsidR="00A654BD">
        <w:t>)</w:t>
      </w:r>
      <w:r w:rsidR="00AC47CF">
        <w:t xml:space="preserve"> ready to be in compliance when inspections begin</w:t>
      </w:r>
      <w:r w:rsidR="00D36EAC">
        <w:t>.</w:t>
      </w:r>
      <w:r w:rsidR="00C35D39">
        <w:t xml:space="preserve"> </w:t>
      </w:r>
      <w:r w:rsidR="00D36EAC">
        <w:t xml:space="preserve"> </w:t>
      </w:r>
    </w:p>
    <w:p w14:paraId="7BC3BE09" w14:textId="6DAAFF11" w:rsidR="00807571" w:rsidRDefault="00F6105A">
      <w:r>
        <w:t>Respondents reported that NECAFS has helped them improve their food safety trainin</w:t>
      </w:r>
      <w:r w:rsidR="00D36EAC">
        <w:t>g, education and/or outreach (95</w:t>
      </w:r>
      <w:r>
        <w:t>%) through facilitation of regional network</w:t>
      </w:r>
      <w:r w:rsidR="00F35E1E">
        <w:t>ing</w:t>
      </w:r>
      <w:r>
        <w:t xml:space="preserve"> and communication and the sharing of resources.</w:t>
      </w:r>
      <w:r w:rsidR="00CD3E40">
        <w:t xml:space="preserve"> Again, the specifics of how NECAFS has helped </w:t>
      </w:r>
      <w:r w:rsidR="009A3D9F">
        <w:t xml:space="preserve">respondents </w:t>
      </w:r>
      <w:r w:rsidR="00CD3E40">
        <w:t>aligned by role</w:t>
      </w:r>
      <w:r w:rsidR="009A3D9F">
        <w:t>. I</w:t>
      </w:r>
      <w:r w:rsidR="00CD3E40">
        <w:t xml:space="preserve">mportantly, </w:t>
      </w:r>
      <w:r w:rsidR="00A84566">
        <w:t xml:space="preserve">this </w:t>
      </w:r>
      <w:r w:rsidR="00CD3E40">
        <w:t>confirms</w:t>
      </w:r>
      <w:r w:rsidR="009A3D9F">
        <w:t xml:space="preserve"> the approach used to establish NECAFS foundational framework</w:t>
      </w:r>
      <w:r w:rsidR="00A84566">
        <w:t>;</w:t>
      </w:r>
      <w:r w:rsidR="009A3D9F">
        <w:t xml:space="preserve"> a model informed by initial stakeholder feedback and designed to facilitate tailored programming built to address</w:t>
      </w:r>
      <w:r w:rsidR="00A84566">
        <w:t xml:space="preserve"> the</w:t>
      </w:r>
      <w:r w:rsidR="009A3D9F">
        <w:t xml:space="preserve"> </w:t>
      </w:r>
      <w:bookmarkStart w:id="0" w:name="_GoBack"/>
      <w:bookmarkEnd w:id="0"/>
      <w:r w:rsidR="00A84566">
        <w:t>detailed</w:t>
      </w:r>
      <w:r w:rsidR="009A3D9F">
        <w:t xml:space="preserve"> needs of the network.</w:t>
      </w:r>
      <w:r w:rsidR="00CD3E40">
        <w:t xml:space="preserve"> </w:t>
      </w:r>
      <w:r>
        <w:t>When asked about specific NECAFS acti</w:t>
      </w:r>
      <w:r w:rsidR="00D36EAC">
        <w:t>vities</w:t>
      </w:r>
      <w:r w:rsidR="004B6D0F">
        <w:t>,</w:t>
      </w:r>
      <w:r w:rsidR="00D36EAC">
        <w:t xml:space="preserve"> (where 5 = excellent), 83</w:t>
      </w:r>
      <w:r>
        <w:t>% rated region</w:t>
      </w:r>
      <w:r w:rsidR="00D36EAC">
        <w:t>al communication as 4 (37</w:t>
      </w:r>
      <w:r>
        <w:t>%) or 5 (46%), 9</w:t>
      </w:r>
      <w:r w:rsidR="00D36EAC">
        <w:t>7</w:t>
      </w:r>
      <w:r>
        <w:t>% rated building regional capacity, competence, and c</w:t>
      </w:r>
      <w:r w:rsidR="00D36EAC">
        <w:t>ollaboration as 4 (43%) or 5 (54%), and 91</w:t>
      </w:r>
      <w:r>
        <w:t>% rated developing and delivering educatio</w:t>
      </w:r>
      <w:r w:rsidR="00D36EAC">
        <w:t>nal programs as 4 (36%) or 5 (55</w:t>
      </w:r>
      <w:r>
        <w:t>%).</w:t>
      </w:r>
      <w:r w:rsidR="00C35D39">
        <w:t xml:space="preserve"> </w:t>
      </w:r>
      <w:r w:rsidR="00C350FF">
        <w:t>Respondents articulated a need for enhanced communication to those outside the NECAFS network to raise awareness of NECAFS and its programming.</w:t>
      </w:r>
      <w:r w:rsidR="00C35D39">
        <w:t xml:space="preserve"> </w:t>
      </w:r>
      <w:r w:rsidR="004F6D3B">
        <w:t>Responses to the question of</w:t>
      </w:r>
      <w:r w:rsidR="00D36EAC">
        <w:t xml:space="preserve"> how NECAFS has helped them</w:t>
      </w:r>
      <w:r w:rsidR="00807571">
        <w:t xml:space="preserve"> </w:t>
      </w:r>
      <w:r w:rsidR="005F128D">
        <w:t xml:space="preserve">varied depending on </w:t>
      </w:r>
      <w:r w:rsidR="004F6D3B">
        <w:t xml:space="preserve">the respondent’s </w:t>
      </w:r>
      <w:r w:rsidR="005F128D">
        <w:t xml:space="preserve">role (educator or regulator) with educators citing networking leading to collaborative work as </w:t>
      </w:r>
      <w:r w:rsidR="004F6D3B">
        <w:t xml:space="preserve">first </w:t>
      </w:r>
      <w:r w:rsidR="005F128D">
        <w:t>and regulators citing general networking and communication that informs decision making a</w:t>
      </w:r>
      <w:r w:rsidR="004F6D3B">
        <w:t>s</w:t>
      </w:r>
      <w:r w:rsidR="005F128D">
        <w:t xml:space="preserve"> their </w:t>
      </w:r>
      <w:r w:rsidR="004F6D3B">
        <w:t>first answer</w:t>
      </w:r>
      <w:r w:rsidR="005F128D">
        <w:t>.</w:t>
      </w:r>
    </w:p>
    <w:p w14:paraId="1800B5DD" w14:textId="5D61F05F" w:rsidR="00EB0CA6" w:rsidRPr="00F6105A" w:rsidRDefault="00F6105A">
      <w:pPr>
        <w:rPr>
          <w:sz w:val="32"/>
        </w:rPr>
      </w:pPr>
      <w:r w:rsidRPr="00F6105A">
        <w:rPr>
          <w:sz w:val="32"/>
        </w:rPr>
        <w:t>Discussion and Results</w:t>
      </w:r>
    </w:p>
    <w:p w14:paraId="7B05506C" w14:textId="2EC58078" w:rsidR="0090359E" w:rsidRDefault="0090359E">
      <w:r>
        <w:t>The Northeast Center to Advance</w:t>
      </w:r>
      <w:r w:rsidR="00D36EAC">
        <w:t xml:space="preserve"> Food Safety (NECAFS) held the </w:t>
      </w:r>
      <w:r w:rsidR="008E0B32">
        <w:t>3</w:t>
      </w:r>
      <w:r w:rsidR="008E0B32" w:rsidRPr="003B2B00">
        <w:rPr>
          <w:vertAlign w:val="superscript"/>
        </w:rPr>
        <w:t>rd</w:t>
      </w:r>
      <w:r w:rsidR="008E0B32">
        <w:t xml:space="preserve"> </w:t>
      </w:r>
      <w:r>
        <w:t xml:space="preserve">Annual Conference and Meeting in </w:t>
      </w:r>
      <w:r w:rsidR="00D36EAC">
        <w:t>Albany</w:t>
      </w:r>
      <w:r>
        <w:t xml:space="preserve">, </w:t>
      </w:r>
      <w:r w:rsidR="00D36EAC">
        <w:t>NY</w:t>
      </w:r>
      <w:r>
        <w:t xml:space="preserve"> </w:t>
      </w:r>
      <w:r w:rsidR="00D36EAC">
        <w:t>February</w:t>
      </w:r>
      <w:r>
        <w:t xml:space="preserve"> </w:t>
      </w:r>
      <w:r w:rsidR="00D36EAC">
        <w:t>5</w:t>
      </w:r>
      <w:r>
        <w:t xml:space="preserve"> – </w:t>
      </w:r>
      <w:r w:rsidR="00D36EAC">
        <w:t>6</w:t>
      </w:r>
      <w:r>
        <w:t>, 201</w:t>
      </w:r>
      <w:r w:rsidR="00D36EAC">
        <w:t>9</w:t>
      </w:r>
      <w:r>
        <w:t xml:space="preserve">. Tuesday, </w:t>
      </w:r>
      <w:r w:rsidR="00D36EAC">
        <w:t>February 5</w:t>
      </w:r>
      <w:r w:rsidR="00D36EAC" w:rsidRPr="00D36EAC">
        <w:rPr>
          <w:vertAlign w:val="superscript"/>
        </w:rPr>
        <w:t>th</w:t>
      </w:r>
      <w:r w:rsidR="00D36EAC">
        <w:t xml:space="preserve"> started with a welcome and plenary session </w:t>
      </w:r>
      <w:r w:rsidR="00D36EAC">
        <w:lastRenderedPageBreak/>
        <w:t>where the highlights of NECAFS and a condensed presentation of state updates</w:t>
      </w:r>
      <w:r w:rsidR="00D36EAC">
        <w:rPr>
          <w:rStyle w:val="FootnoteReference"/>
        </w:rPr>
        <w:footnoteReference w:id="1"/>
      </w:r>
      <w:r w:rsidR="00D36EAC">
        <w:t xml:space="preserve"> were presented and the remainder of the day </w:t>
      </w:r>
      <w:r>
        <w:t>focused</w:t>
      </w:r>
      <w:r w:rsidR="00AA2593">
        <w:t xml:space="preserve"> on workgroup </w:t>
      </w:r>
      <w:r>
        <w:t>meeting</w:t>
      </w:r>
      <w:r w:rsidR="00AA2593">
        <w:t>s</w:t>
      </w:r>
      <w:r>
        <w:t xml:space="preserve"> dedicated to Produce Safety and Preventive Controls for Human Food in two parallel tracks.</w:t>
      </w:r>
      <w:r w:rsidR="00C35D39">
        <w:t xml:space="preserve"> </w:t>
      </w:r>
      <w:r>
        <w:t>Wednesday</w:t>
      </w:r>
      <w:r w:rsidR="00AA2593">
        <w:t xml:space="preserve">, </w:t>
      </w:r>
      <w:r w:rsidR="00D36EAC">
        <w:t>February 6</w:t>
      </w:r>
      <w:r w:rsidR="00D36EAC" w:rsidRPr="00D36EAC">
        <w:rPr>
          <w:vertAlign w:val="superscript"/>
        </w:rPr>
        <w:t>th</w:t>
      </w:r>
      <w:r w:rsidR="00D36EAC">
        <w:t xml:space="preserve"> </w:t>
      </w:r>
      <w:r w:rsidR="00AA2593">
        <w:t>featured</w:t>
      </w:r>
      <w:r>
        <w:t xml:space="preserve"> </w:t>
      </w:r>
      <w:r w:rsidR="00D36EAC">
        <w:t>updates from federal partners (FDA and USDA) with the remainder of the day focused on workgroup meetings dedicated to</w:t>
      </w:r>
      <w:r w:rsidR="004F6D3B">
        <w:t xml:space="preserve"> the topics of</w:t>
      </w:r>
      <w:r w:rsidR="00D36EAC">
        <w:t xml:space="preserve"> Buyers and Educational Approaches to Training Delivery. </w:t>
      </w:r>
    </w:p>
    <w:p w14:paraId="15EB3A32" w14:textId="499B698A" w:rsidR="006E362B" w:rsidRPr="0042499F" w:rsidRDefault="006E362B" w:rsidP="008E7E5E">
      <w:pPr>
        <w:pStyle w:val="CommentText"/>
        <w:rPr>
          <w:sz w:val="22"/>
          <w:szCs w:val="22"/>
        </w:rPr>
      </w:pPr>
      <w:r w:rsidRPr="0042499F">
        <w:rPr>
          <w:sz w:val="22"/>
          <w:szCs w:val="22"/>
        </w:rPr>
        <w:t xml:space="preserve">NECAFS distributed paper evaluations at the start of the joint conference session on Wednesday and asked attendees to complete and return at the end of </w:t>
      </w:r>
      <w:r w:rsidR="004F6D3B">
        <w:rPr>
          <w:sz w:val="22"/>
          <w:szCs w:val="22"/>
        </w:rPr>
        <w:t xml:space="preserve">the </w:t>
      </w:r>
      <w:r w:rsidRPr="0042499F">
        <w:rPr>
          <w:sz w:val="22"/>
          <w:szCs w:val="22"/>
        </w:rPr>
        <w:t>day.</w:t>
      </w:r>
      <w:r w:rsidR="00C35D39">
        <w:rPr>
          <w:sz w:val="22"/>
          <w:szCs w:val="22"/>
        </w:rPr>
        <w:t xml:space="preserve"> </w:t>
      </w:r>
      <w:r w:rsidRPr="0042499F">
        <w:rPr>
          <w:sz w:val="22"/>
          <w:szCs w:val="22"/>
        </w:rPr>
        <w:t>Approximately 1</w:t>
      </w:r>
      <w:r w:rsidR="00D36EAC">
        <w:rPr>
          <w:sz w:val="22"/>
          <w:szCs w:val="22"/>
        </w:rPr>
        <w:t>2</w:t>
      </w:r>
      <w:r w:rsidRPr="0042499F">
        <w:rPr>
          <w:sz w:val="22"/>
          <w:szCs w:val="22"/>
        </w:rPr>
        <w:t>0 people attended</w:t>
      </w:r>
      <w:r w:rsidR="00D36EAC">
        <w:rPr>
          <w:sz w:val="22"/>
          <w:szCs w:val="22"/>
        </w:rPr>
        <w:t xml:space="preserve"> </w:t>
      </w:r>
      <w:r w:rsidR="004F6D3B">
        <w:rPr>
          <w:sz w:val="22"/>
          <w:szCs w:val="22"/>
        </w:rPr>
        <w:t xml:space="preserve">the event </w:t>
      </w:r>
      <w:r w:rsidR="00D36EAC">
        <w:rPr>
          <w:sz w:val="22"/>
          <w:szCs w:val="22"/>
        </w:rPr>
        <w:t>and 67</w:t>
      </w:r>
      <w:r w:rsidR="00D36EAC" w:rsidRPr="0042499F">
        <w:rPr>
          <w:sz w:val="22"/>
          <w:szCs w:val="22"/>
        </w:rPr>
        <w:t xml:space="preserve"> </w:t>
      </w:r>
      <w:r w:rsidR="004F6D3B">
        <w:rPr>
          <w:sz w:val="22"/>
          <w:szCs w:val="22"/>
        </w:rPr>
        <w:t xml:space="preserve">(55.8%) </w:t>
      </w:r>
      <w:r w:rsidR="00D36EAC" w:rsidRPr="0042499F">
        <w:rPr>
          <w:sz w:val="22"/>
          <w:szCs w:val="22"/>
        </w:rPr>
        <w:t>compl</w:t>
      </w:r>
      <w:r w:rsidR="00D36EAC">
        <w:rPr>
          <w:sz w:val="22"/>
          <w:szCs w:val="22"/>
        </w:rPr>
        <w:t>eted and returned evaluations.</w:t>
      </w:r>
      <w:r w:rsidR="00C35D39">
        <w:rPr>
          <w:sz w:val="22"/>
          <w:szCs w:val="22"/>
        </w:rPr>
        <w:t xml:space="preserve"> </w:t>
      </w:r>
      <w:r w:rsidR="00E941F1" w:rsidRPr="0042499F">
        <w:rPr>
          <w:b/>
          <w:sz w:val="22"/>
          <w:szCs w:val="22"/>
        </w:rPr>
        <w:t xml:space="preserve">Table 1 </w:t>
      </w:r>
      <w:r w:rsidR="00E941F1" w:rsidRPr="0042499F">
        <w:rPr>
          <w:sz w:val="22"/>
          <w:szCs w:val="22"/>
        </w:rPr>
        <w:t>represents the roles in regional food safety selected by attendees</w:t>
      </w:r>
      <w:r w:rsidR="00EB0CA6">
        <w:rPr>
          <w:sz w:val="22"/>
          <w:szCs w:val="22"/>
        </w:rPr>
        <w:t xml:space="preserve"> </w:t>
      </w:r>
      <w:r w:rsidR="004F6D3B">
        <w:rPr>
          <w:sz w:val="22"/>
          <w:szCs w:val="22"/>
        </w:rPr>
        <w:t xml:space="preserve">who </w:t>
      </w:r>
      <w:r w:rsidR="00EB0CA6">
        <w:rPr>
          <w:sz w:val="22"/>
          <w:szCs w:val="22"/>
        </w:rPr>
        <w:t>completed the evaluation</w:t>
      </w:r>
      <w:r w:rsidR="00E941F1" w:rsidRPr="0042499F">
        <w:rPr>
          <w:sz w:val="22"/>
          <w:szCs w:val="22"/>
        </w:rPr>
        <w:t xml:space="preserve">, </w:t>
      </w:r>
      <w:r w:rsidR="004F6D3B">
        <w:rPr>
          <w:sz w:val="22"/>
          <w:szCs w:val="22"/>
        </w:rPr>
        <w:t>delineated by</w:t>
      </w:r>
      <w:r w:rsidR="00E941F1" w:rsidRPr="0042499F">
        <w:rPr>
          <w:sz w:val="22"/>
          <w:szCs w:val="22"/>
        </w:rPr>
        <w:t xml:space="preserve"> individual</w:t>
      </w:r>
      <w:r w:rsidR="004F6D3B">
        <w:rPr>
          <w:sz w:val="22"/>
          <w:szCs w:val="22"/>
        </w:rPr>
        <w:t>s’</w:t>
      </w:r>
      <w:r w:rsidR="00E941F1" w:rsidRPr="0042499F">
        <w:rPr>
          <w:sz w:val="22"/>
          <w:szCs w:val="22"/>
        </w:rPr>
        <w:t xml:space="preserve"> roles. </w:t>
      </w:r>
      <w:r w:rsidR="00515E4B" w:rsidRPr="0042499F">
        <w:rPr>
          <w:sz w:val="22"/>
          <w:szCs w:val="22"/>
        </w:rPr>
        <w:t xml:space="preserve">When selecting roles, attendees were asked to “Check all that apply” </w:t>
      </w:r>
      <w:r w:rsidR="00515E4B">
        <w:rPr>
          <w:sz w:val="22"/>
          <w:szCs w:val="22"/>
        </w:rPr>
        <w:t>and</w:t>
      </w:r>
      <w:r w:rsidR="00E941F1" w:rsidRPr="0042499F">
        <w:rPr>
          <w:sz w:val="22"/>
          <w:szCs w:val="22"/>
        </w:rPr>
        <w:t xml:space="preserve"> 1</w:t>
      </w:r>
      <w:r w:rsidR="00D36EAC">
        <w:rPr>
          <w:sz w:val="22"/>
          <w:szCs w:val="22"/>
        </w:rPr>
        <w:t>2</w:t>
      </w:r>
      <w:r w:rsidR="00E941F1" w:rsidRPr="0042499F">
        <w:rPr>
          <w:sz w:val="22"/>
          <w:szCs w:val="22"/>
        </w:rPr>
        <w:t xml:space="preserve"> people selected that they have more than one role in regional food safety</w:t>
      </w:r>
      <w:r w:rsidR="004F6D3B">
        <w:rPr>
          <w:sz w:val="22"/>
          <w:szCs w:val="22"/>
        </w:rPr>
        <w:t xml:space="preserve">; </w:t>
      </w:r>
      <w:r w:rsidR="00D36EAC">
        <w:rPr>
          <w:sz w:val="22"/>
          <w:szCs w:val="22"/>
        </w:rPr>
        <w:t xml:space="preserve">the majority of </w:t>
      </w:r>
      <w:r w:rsidR="004F6D3B">
        <w:rPr>
          <w:sz w:val="22"/>
          <w:szCs w:val="22"/>
        </w:rPr>
        <w:t>these</w:t>
      </w:r>
      <w:r w:rsidR="00D36EAC">
        <w:rPr>
          <w:sz w:val="22"/>
          <w:szCs w:val="22"/>
        </w:rPr>
        <w:t xml:space="preserve"> individuals selected both research and education</w:t>
      </w:r>
      <w:r w:rsidR="00E941F1" w:rsidRPr="0042499F">
        <w:rPr>
          <w:sz w:val="22"/>
          <w:szCs w:val="22"/>
        </w:rPr>
        <w:t>.</w:t>
      </w:r>
      <w:r w:rsidR="00C35D39">
        <w:rPr>
          <w:sz w:val="22"/>
          <w:szCs w:val="22"/>
        </w:rPr>
        <w:t xml:space="preserve"> </w:t>
      </w:r>
      <w:r w:rsidR="002D12B3">
        <w:rPr>
          <w:sz w:val="22"/>
          <w:szCs w:val="22"/>
        </w:rPr>
        <w:t>Individuals</w:t>
      </w:r>
      <w:r w:rsidR="002D12B3" w:rsidRPr="0042499F">
        <w:rPr>
          <w:sz w:val="22"/>
          <w:szCs w:val="22"/>
        </w:rPr>
        <w:t xml:space="preserve"> </w:t>
      </w:r>
      <w:r w:rsidR="007A1480" w:rsidRPr="0042499F">
        <w:rPr>
          <w:sz w:val="22"/>
          <w:szCs w:val="22"/>
        </w:rPr>
        <w:t xml:space="preserve">working in </w:t>
      </w:r>
      <w:r w:rsidR="00155CF2" w:rsidRPr="0042499F">
        <w:rPr>
          <w:sz w:val="22"/>
          <w:szCs w:val="22"/>
        </w:rPr>
        <w:t xml:space="preserve">regional food safety </w:t>
      </w:r>
      <w:r w:rsidR="007A1480" w:rsidRPr="0042499F">
        <w:rPr>
          <w:sz w:val="22"/>
          <w:szCs w:val="22"/>
        </w:rPr>
        <w:t xml:space="preserve">education </w:t>
      </w:r>
      <w:r w:rsidR="00515E4B">
        <w:rPr>
          <w:sz w:val="22"/>
          <w:szCs w:val="22"/>
        </w:rPr>
        <w:t xml:space="preserve">or regulation </w:t>
      </w:r>
      <w:r w:rsidR="007A1480" w:rsidRPr="0042499F">
        <w:rPr>
          <w:sz w:val="22"/>
          <w:szCs w:val="22"/>
        </w:rPr>
        <w:t>represented the largest cohort</w:t>
      </w:r>
      <w:r w:rsidR="00515E4B">
        <w:rPr>
          <w:sz w:val="22"/>
          <w:szCs w:val="22"/>
        </w:rPr>
        <w:t>s</w:t>
      </w:r>
      <w:r w:rsidR="00E941F1" w:rsidRPr="0042499F">
        <w:rPr>
          <w:sz w:val="22"/>
          <w:szCs w:val="22"/>
        </w:rPr>
        <w:t xml:space="preserve"> of attendees</w:t>
      </w:r>
      <w:r w:rsidR="00515E4B">
        <w:rPr>
          <w:sz w:val="22"/>
          <w:szCs w:val="22"/>
        </w:rPr>
        <w:t xml:space="preserve"> </w:t>
      </w:r>
      <w:r w:rsidR="004F6D3B">
        <w:rPr>
          <w:sz w:val="22"/>
          <w:szCs w:val="22"/>
        </w:rPr>
        <w:t xml:space="preserve">to the Annual Conference, </w:t>
      </w:r>
      <w:r w:rsidR="00515E4B">
        <w:rPr>
          <w:sz w:val="22"/>
          <w:szCs w:val="22"/>
        </w:rPr>
        <w:t>at 39% and 38% respectively</w:t>
      </w:r>
      <w:r w:rsidR="007A1480" w:rsidRPr="0042499F">
        <w:rPr>
          <w:sz w:val="22"/>
          <w:szCs w:val="22"/>
        </w:rPr>
        <w:t xml:space="preserve"> </w:t>
      </w:r>
      <w:r w:rsidR="004F6D3B">
        <w:rPr>
          <w:sz w:val="22"/>
          <w:szCs w:val="22"/>
        </w:rPr>
        <w:t xml:space="preserve">among those </w:t>
      </w:r>
      <w:r w:rsidR="008E7E5E" w:rsidRPr="0042499F">
        <w:rPr>
          <w:sz w:val="22"/>
          <w:szCs w:val="22"/>
        </w:rPr>
        <w:t>who responded to the evaluation</w:t>
      </w:r>
      <w:r w:rsidR="007A1480" w:rsidRPr="0042499F">
        <w:rPr>
          <w:sz w:val="22"/>
          <w:szCs w:val="22"/>
        </w:rPr>
        <w:t xml:space="preserve">. </w:t>
      </w:r>
    </w:p>
    <w:tbl>
      <w:tblPr>
        <w:tblW w:w="5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4"/>
        <w:gridCol w:w="1251"/>
        <w:gridCol w:w="1262"/>
      </w:tblGrid>
      <w:tr w:rsidR="0090359E" w:rsidRPr="0090359E" w14:paraId="33867B9D" w14:textId="77777777" w:rsidTr="0090359E">
        <w:trPr>
          <w:trHeight w:val="312"/>
        </w:trPr>
        <w:tc>
          <w:tcPr>
            <w:tcW w:w="3144" w:type="dxa"/>
            <w:shd w:val="clear" w:color="auto" w:fill="auto"/>
            <w:noWrap/>
            <w:vAlign w:val="bottom"/>
            <w:hideMark/>
          </w:tcPr>
          <w:p w14:paraId="16B0F757" w14:textId="77777777" w:rsidR="0090359E" w:rsidRPr="0090359E" w:rsidRDefault="0090359E" w:rsidP="0090359E">
            <w:pPr>
              <w:spacing w:after="0" w:line="240" w:lineRule="auto"/>
              <w:rPr>
                <w:rFonts w:ascii="Calibri" w:eastAsia="Times New Roman" w:hAnsi="Calibri" w:cs="Calibri"/>
                <w:b/>
                <w:color w:val="000000"/>
              </w:rPr>
            </w:pPr>
            <w:r w:rsidRPr="0090359E">
              <w:rPr>
                <w:rFonts w:ascii="Calibri" w:eastAsia="Times New Roman" w:hAnsi="Calibri" w:cs="Calibri"/>
                <w:b/>
                <w:color w:val="000000"/>
              </w:rPr>
              <w:t>Role in Regional Food Safety</w:t>
            </w:r>
          </w:p>
        </w:tc>
        <w:tc>
          <w:tcPr>
            <w:tcW w:w="1251" w:type="dxa"/>
            <w:shd w:val="clear" w:color="auto" w:fill="auto"/>
            <w:noWrap/>
            <w:vAlign w:val="bottom"/>
            <w:hideMark/>
          </w:tcPr>
          <w:p w14:paraId="1E0D747D" w14:textId="57F1DBF5" w:rsidR="0090359E" w:rsidRPr="0090359E" w:rsidRDefault="0090359E" w:rsidP="0090359E">
            <w:pPr>
              <w:spacing w:after="0" w:line="240" w:lineRule="auto"/>
              <w:rPr>
                <w:rFonts w:ascii="Calibri" w:eastAsia="Times New Roman" w:hAnsi="Calibri" w:cs="Calibri"/>
                <w:b/>
                <w:color w:val="000000"/>
              </w:rPr>
            </w:pPr>
            <w:r w:rsidRPr="0090359E">
              <w:rPr>
                <w:rFonts w:ascii="Calibri" w:eastAsia="Times New Roman" w:hAnsi="Calibri" w:cs="Calibri"/>
                <w:b/>
                <w:color w:val="000000"/>
              </w:rPr>
              <w:t>Number</w:t>
            </w:r>
            <w:r w:rsidR="00D36EAC">
              <w:rPr>
                <w:rFonts w:ascii="Calibri" w:eastAsia="Times New Roman" w:hAnsi="Calibri" w:cs="Calibri"/>
                <w:b/>
                <w:color w:val="000000"/>
              </w:rPr>
              <w:t xml:space="preserve"> </w:t>
            </w:r>
            <w:r w:rsidR="00D36EAC" w:rsidRPr="00D36EAC">
              <w:rPr>
                <w:rFonts w:ascii="Calibri" w:eastAsia="Times New Roman" w:hAnsi="Calibri" w:cs="Calibri"/>
                <w:color w:val="000000"/>
                <w:sz w:val="16"/>
                <w:szCs w:val="18"/>
              </w:rPr>
              <w:t>(also selected education)</w:t>
            </w:r>
          </w:p>
        </w:tc>
        <w:tc>
          <w:tcPr>
            <w:tcW w:w="1262" w:type="dxa"/>
            <w:shd w:val="clear" w:color="auto" w:fill="auto"/>
            <w:noWrap/>
            <w:vAlign w:val="bottom"/>
            <w:hideMark/>
          </w:tcPr>
          <w:p w14:paraId="053A9583" w14:textId="77777777" w:rsidR="0090359E" w:rsidRPr="0090359E" w:rsidRDefault="0090359E" w:rsidP="0090359E">
            <w:pPr>
              <w:spacing w:after="0" w:line="240" w:lineRule="auto"/>
              <w:jc w:val="right"/>
              <w:rPr>
                <w:rFonts w:ascii="Calibri" w:eastAsia="Times New Roman" w:hAnsi="Calibri" w:cs="Calibri"/>
                <w:b/>
                <w:color w:val="000000"/>
              </w:rPr>
            </w:pPr>
            <w:r w:rsidRPr="0090359E">
              <w:rPr>
                <w:rFonts w:ascii="Calibri" w:eastAsia="Times New Roman" w:hAnsi="Calibri" w:cs="Calibri"/>
                <w:b/>
                <w:color w:val="000000"/>
              </w:rPr>
              <w:t>Percent</w:t>
            </w:r>
          </w:p>
        </w:tc>
      </w:tr>
      <w:tr w:rsidR="0090359E" w:rsidRPr="0090359E" w14:paraId="17B9CAE3" w14:textId="77777777" w:rsidTr="0090359E">
        <w:trPr>
          <w:trHeight w:val="312"/>
        </w:trPr>
        <w:tc>
          <w:tcPr>
            <w:tcW w:w="3144" w:type="dxa"/>
            <w:shd w:val="clear" w:color="auto" w:fill="auto"/>
            <w:noWrap/>
            <w:vAlign w:val="bottom"/>
            <w:hideMark/>
          </w:tcPr>
          <w:p w14:paraId="4940F247" w14:textId="77777777" w:rsidR="0090359E" w:rsidRPr="0090359E" w:rsidRDefault="0090359E" w:rsidP="0090359E">
            <w:pPr>
              <w:spacing w:after="0" w:line="240" w:lineRule="auto"/>
              <w:rPr>
                <w:rFonts w:ascii="Calibri" w:eastAsia="Times New Roman" w:hAnsi="Calibri" w:cs="Calibri"/>
                <w:color w:val="000000"/>
              </w:rPr>
            </w:pPr>
            <w:r w:rsidRPr="0090359E">
              <w:rPr>
                <w:rFonts w:ascii="Calibri" w:eastAsia="Times New Roman" w:hAnsi="Calibri" w:cs="Calibri"/>
                <w:color w:val="000000"/>
              </w:rPr>
              <w:t>Education</w:t>
            </w:r>
          </w:p>
        </w:tc>
        <w:tc>
          <w:tcPr>
            <w:tcW w:w="1251" w:type="dxa"/>
            <w:shd w:val="clear" w:color="auto" w:fill="auto"/>
            <w:noWrap/>
            <w:vAlign w:val="bottom"/>
            <w:hideMark/>
          </w:tcPr>
          <w:p w14:paraId="5B9B6921" w14:textId="571B5896" w:rsidR="0090359E" w:rsidRPr="0090359E" w:rsidRDefault="00D36EAC" w:rsidP="0090359E">
            <w:pPr>
              <w:spacing w:after="0" w:line="240" w:lineRule="auto"/>
              <w:jc w:val="right"/>
              <w:rPr>
                <w:rFonts w:ascii="Calibri" w:eastAsia="Times New Roman" w:hAnsi="Calibri" w:cs="Calibri"/>
                <w:color w:val="000000"/>
              </w:rPr>
            </w:pPr>
            <w:r>
              <w:rPr>
                <w:rFonts w:ascii="Calibri" w:eastAsia="Times New Roman" w:hAnsi="Calibri" w:cs="Calibri"/>
                <w:color w:val="000000"/>
              </w:rPr>
              <w:t>31</w:t>
            </w:r>
          </w:p>
        </w:tc>
        <w:tc>
          <w:tcPr>
            <w:tcW w:w="1262" w:type="dxa"/>
            <w:shd w:val="clear" w:color="auto" w:fill="auto"/>
            <w:noWrap/>
            <w:vAlign w:val="bottom"/>
            <w:hideMark/>
          </w:tcPr>
          <w:p w14:paraId="741D00EF" w14:textId="37EAE522" w:rsidR="0090359E" w:rsidRPr="0090359E" w:rsidRDefault="00515E4B" w:rsidP="00D36EAC">
            <w:pPr>
              <w:spacing w:after="0" w:line="240" w:lineRule="auto"/>
              <w:jc w:val="right"/>
              <w:rPr>
                <w:rFonts w:ascii="Calibri" w:eastAsia="Times New Roman" w:hAnsi="Calibri" w:cs="Calibri"/>
                <w:color w:val="000000"/>
              </w:rPr>
            </w:pPr>
            <w:r>
              <w:rPr>
                <w:rFonts w:ascii="Calibri" w:eastAsia="Times New Roman" w:hAnsi="Calibri" w:cs="Calibri"/>
                <w:color w:val="000000"/>
              </w:rPr>
              <w:t>39</w:t>
            </w:r>
            <w:r w:rsidR="0090359E" w:rsidRPr="0090359E">
              <w:rPr>
                <w:rFonts w:ascii="Calibri" w:eastAsia="Times New Roman" w:hAnsi="Calibri" w:cs="Calibri"/>
                <w:color w:val="000000"/>
              </w:rPr>
              <w:t>%</w:t>
            </w:r>
          </w:p>
        </w:tc>
      </w:tr>
      <w:tr w:rsidR="0090359E" w:rsidRPr="0090359E" w14:paraId="72491A5B" w14:textId="77777777" w:rsidTr="0090359E">
        <w:trPr>
          <w:trHeight w:val="312"/>
        </w:trPr>
        <w:tc>
          <w:tcPr>
            <w:tcW w:w="3144" w:type="dxa"/>
            <w:shd w:val="clear" w:color="auto" w:fill="auto"/>
            <w:noWrap/>
            <w:vAlign w:val="bottom"/>
            <w:hideMark/>
          </w:tcPr>
          <w:p w14:paraId="4DA915E5" w14:textId="77777777" w:rsidR="0090359E" w:rsidRPr="0090359E" w:rsidRDefault="0090359E" w:rsidP="0090359E">
            <w:pPr>
              <w:spacing w:after="0" w:line="240" w:lineRule="auto"/>
              <w:rPr>
                <w:rFonts w:ascii="Calibri" w:eastAsia="Times New Roman" w:hAnsi="Calibri" w:cs="Calibri"/>
                <w:color w:val="000000"/>
              </w:rPr>
            </w:pPr>
            <w:r w:rsidRPr="0090359E">
              <w:rPr>
                <w:rFonts w:ascii="Calibri" w:eastAsia="Times New Roman" w:hAnsi="Calibri" w:cs="Calibri"/>
                <w:color w:val="000000"/>
              </w:rPr>
              <w:t>Government/Regulation</w:t>
            </w:r>
          </w:p>
        </w:tc>
        <w:tc>
          <w:tcPr>
            <w:tcW w:w="1251" w:type="dxa"/>
            <w:shd w:val="clear" w:color="auto" w:fill="auto"/>
            <w:noWrap/>
            <w:vAlign w:val="bottom"/>
            <w:hideMark/>
          </w:tcPr>
          <w:p w14:paraId="6AB9CB34" w14:textId="03052CC7" w:rsidR="0090359E" w:rsidRPr="0090359E" w:rsidRDefault="00D36EAC" w:rsidP="0090359E">
            <w:pPr>
              <w:spacing w:after="0" w:line="240" w:lineRule="auto"/>
              <w:jc w:val="right"/>
              <w:rPr>
                <w:rFonts w:ascii="Calibri" w:eastAsia="Times New Roman" w:hAnsi="Calibri" w:cs="Calibri"/>
                <w:color w:val="000000"/>
              </w:rPr>
            </w:pPr>
            <w:r>
              <w:rPr>
                <w:rFonts w:ascii="Calibri" w:eastAsia="Times New Roman" w:hAnsi="Calibri" w:cs="Calibri"/>
                <w:color w:val="000000"/>
              </w:rPr>
              <w:t>30</w:t>
            </w:r>
          </w:p>
        </w:tc>
        <w:tc>
          <w:tcPr>
            <w:tcW w:w="1262" w:type="dxa"/>
            <w:shd w:val="clear" w:color="auto" w:fill="auto"/>
            <w:noWrap/>
            <w:vAlign w:val="bottom"/>
            <w:hideMark/>
          </w:tcPr>
          <w:p w14:paraId="74B581FF" w14:textId="2430BA7D" w:rsidR="0090359E" w:rsidRPr="0090359E" w:rsidRDefault="00515E4B" w:rsidP="0090359E">
            <w:pPr>
              <w:spacing w:after="0" w:line="240" w:lineRule="auto"/>
              <w:jc w:val="right"/>
              <w:rPr>
                <w:rFonts w:ascii="Calibri" w:eastAsia="Times New Roman" w:hAnsi="Calibri" w:cs="Calibri"/>
                <w:color w:val="000000"/>
              </w:rPr>
            </w:pPr>
            <w:r>
              <w:rPr>
                <w:rFonts w:ascii="Calibri" w:eastAsia="Times New Roman" w:hAnsi="Calibri" w:cs="Calibri"/>
                <w:color w:val="000000"/>
              </w:rPr>
              <w:t>38</w:t>
            </w:r>
            <w:r w:rsidR="0090359E" w:rsidRPr="0090359E">
              <w:rPr>
                <w:rFonts w:ascii="Calibri" w:eastAsia="Times New Roman" w:hAnsi="Calibri" w:cs="Calibri"/>
                <w:color w:val="000000"/>
              </w:rPr>
              <w:t>%</w:t>
            </w:r>
          </w:p>
        </w:tc>
      </w:tr>
      <w:tr w:rsidR="0090359E" w:rsidRPr="0090359E" w14:paraId="18E41D93" w14:textId="77777777" w:rsidTr="0090359E">
        <w:trPr>
          <w:trHeight w:val="312"/>
        </w:trPr>
        <w:tc>
          <w:tcPr>
            <w:tcW w:w="3144" w:type="dxa"/>
            <w:shd w:val="clear" w:color="auto" w:fill="auto"/>
            <w:noWrap/>
            <w:vAlign w:val="bottom"/>
            <w:hideMark/>
          </w:tcPr>
          <w:p w14:paraId="798505AC" w14:textId="77777777" w:rsidR="0090359E" w:rsidRPr="0090359E" w:rsidRDefault="0090359E" w:rsidP="0090359E">
            <w:pPr>
              <w:spacing w:after="0" w:line="240" w:lineRule="auto"/>
              <w:rPr>
                <w:rFonts w:ascii="Calibri" w:eastAsia="Times New Roman" w:hAnsi="Calibri" w:cs="Calibri"/>
                <w:color w:val="000000"/>
              </w:rPr>
            </w:pPr>
            <w:r w:rsidRPr="0090359E">
              <w:rPr>
                <w:rFonts w:ascii="Calibri" w:eastAsia="Times New Roman" w:hAnsi="Calibri" w:cs="Calibri"/>
                <w:color w:val="000000"/>
              </w:rPr>
              <w:t>Research</w:t>
            </w:r>
          </w:p>
        </w:tc>
        <w:tc>
          <w:tcPr>
            <w:tcW w:w="1251" w:type="dxa"/>
            <w:shd w:val="clear" w:color="auto" w:fill="auto"/>
            <w:noWrap/>
            <w:vAlign w:val="bottom"/>
            <w:hideMark/>
          </w:tcPr>
          <w:p w14:paraId="7F3797FC" w14:textId="5BA88C0E" w:rsidR="0090359E" w:rsidRPr="0090359E" w:rsidRDefault="00D36EAC" w:rsidP="00D36EAC">
            <w:pPr>
              <w:spacing w:after="0" w:line="240" w:lineRule="auto"/>
              <w:jc w:val="right"/>
              <w:rPr>
                <w:rFonts w:ascii="Calibri" w:eastAsia="Times New Roman" w:hAnsi="Calibri" w:cs="Calibri"/>
                <w:color w:val="000000"/>
              </w:rPr>
            </w:pPr>
            <w:r>
              <w:rPr>
                <w:rFonts w:ascii="Calibri" w:eastAsia="Times New Roman" w:hAnsi="Calibri" w:cs="Calibri"/>
                <w:color w:val="000000"/>
              </w:rPr>
              <w:t>12 (9)</w:t>
            </w:r>
          </w:p>
        </w:tc>
        <w:tc>
          <w:tcPr>
            <w:tcW w:w="1262" w:type="dxa"/>
            <w:shd w:val="clear" w:color="auto" w:fill="auto"/>
            <w:noWrap/>
            <w:vAlign w:val="bottom"/>
            <w:hideMark/>
          </w:tcPr>
          <w:p w14:paraId="12CE8C2C" w14:textId="2348BFA1" w:rsidR="0090359E" w:rsidRPr="0090359E" w:rsidRDefault="0090359E" w:rsidP="0090359E">
            <w:pPr>
              <w:spacing w:after="0" w:line="240" w:lineRule="auto"/>
              <w:jc w:val="right"/>
              <w:rPr>
                <w:rFonts w:ascii="Calibri" w:eastAsia="Times New Roman" w:hAnsi="Calibri" w:cs="Calibri"/>
                <w:color w:val="000000"/>
              </w:rPr>
            </w:pPr>
            <w:r w:rsidRPr="0090359E">
              <w:rPr>
                <w:rFonts w:ascii="Calibri" w:eastAsia="Times New Roman" w:hAnsi="Calibri" w:cs="Calibri"/>
                <w:color w:val="000000"/>
              </w:rPr>
              <w:t>1</w:t>
            </w:r>
            <w:r w:rsidR="00515E4B">
              <w:rPr>
                <w:rFonts w:ascii="Calibri" w:eastAsia="Times New Roman" w:hAnsi="Calibri" w:cs="Calibri"/>
                <w:color w:val="000000"/>
              </w:rPr>
              <w:t>5</w:t>
            </w:r>
            <w:r w:rsidRPr="0090359E">
              <w:rPr>
                <w:rFonts w:ascii="Calibri" w:eastAsia="Times New Roman" w:hAnsi="Calibri" w:cs="Calibri"/>
                <w:color w:val="000000"/>
              </w:rPr>
              <w:t>%</w:t>
            </w:r>
          </w:p>
        </w:tc>
      </w:tr>
      <w:tr w:rsidR="0090359E" w:rsidRPr="0090359E" w14:paraId="0D4A0A55" w14:textId="77777777" w:rsidTr="0090359E">
        <w:trPr>
          <w:trHeight w:val="312"/>
        </w:trPr>
        <w:tc>
          <w:tcPr>
            <w:tcW w:w="3144" w:type="dxa"/>
            <w:shd w:val="clear" w:color="auto" w:fill="auto"/>
            <w:noWrap/>
            <w:vAlign w:val="bottom"/>
            <w:hideMark/>
          </w:tcPr>
          <w:p w14:paraId="024F3C9D" w14:textId="77777777" w:rsidR="0090359E" w:rsidRPr="0090359E" w:rsidRDefault="0090359E" w:rsidP="0090359E">
            <w:pPr>
              <w:spacing w:after="0" w:line="240" w:lineRule="auto"/>
              <w:rPr>
                <w:rFonts w:ascii="Calibri" w:eastAsia="Times New Roman" w:hAnsi="Calibri" w:cs="Calibri"/>
                <w:color w:val="000000"/>
              </w:rPr>
            </w:pPr>
            <w:r w:rsidRPr="0090359E">
              <w:rPr>
                <w:rFonts w:ascii="Calibri" w:eastAsia="Times New Roman" w:hAnsi="Calibri" w:cs="Calibri"/>
                <w:color w:val="000000"/>
              </w:rPr>
              <w:t>Industry</w:t>
            </w:r>
            <w:r>
              <w:rPr>
                <w:rFonts w:ascii="Calibri" w:eastAsia="Times New Roman" w:hAnsi="Calibri" w:cs="Calibri"/>
                <w:color w:val="000000"/>
              </w:rPr>
              <w:t xml:space="preserve"> (Producer or Processor)</w:t>
            </w:r>
          </w:p>
        </w:tc>
        <w:tc>
          <w:tcPr>
            <w:tcW w:w="1251" w:type="dxa"/>
            <w:shd w:val="clear" w:color="auto" w:fill="auto"/>
            <w:noWrap/>
            <w:vAlign w:val="bottom"/>
            <w:hideMark/>
          </w:tcPr>
          <w:p w14:paraId="34D50CF5" w14:textId="5D6B6707" w:rsidR="0090359E" w:rsidRPr="0090359E" w:rsidRDefault="00D36EAC" w:rsidP="0090359E">
            <w:pPr>
              <w:spacing w:after="0" w:line="240" w:lineRule="auto"/>
              <w:jc w:val="right"/>
              <w:rPr>
                <w:rFonts w:ascii="Calibri" w:eastAsia="Times New Roman" w:hAnsi="Calibri" w:cs="Calibri"/>
                <w:color w:val="000000"/>
              </w:rPr>
            </w:pPr>
            <w:r>
              <w:rPr>
                <w:rFonts w:ascii="Calibri" w:eastAsia="Times New Roman" w:hAnsi="Calibri" w:cs="Calibri"/>
                <w:color w:val="000000"/>
              </w:rPr>
              <w:t>4 (2)</w:t>
            </w:r>
          </w:p>
        </w:tc>
        <w:tc>
          <w:tcPr>
            <w:tcW w:w="1262" w:type="dxa"/>
            <w:shd w:val="clear" w:color="auto" w:fill="auto"/>
            <w:noWrap/>
            <w:vAlign w:val="bottom"/>
            <w:hideMark/>
          </w:tcPr>
          <w:p w14:paraId="6C5ED624" w14:textId="5DE1AB7B" w:rsidR="0090359E" w:rsidRPr="0090359E" w:rsidRDefault="00515E4B" w:rsidP="0090359E">
            <w:pPr>
              <w:spacing w:after="0" w:line="240" w:lineRule="auto"/>
              <w:jc w:val="right"/>
              <w:rPr>
                <w:rFonts w:ascii="Calibri" w:eastAsia="Times New Roman" w:hAnsi="Calibri" w:cs="Calibri"/>
                <w:color w:val="000000"/>
              </w:rPr>
            </w:pPr>
            <w:r>
              <w:rPr>
                <w:rFonts w:ascii="Calibri" w:eastAsia="Times New Roman" w:hAnsi="Calibri" w:cs="Calibri"/>
                <w:color w:val="000000"/>
              </w:rPr>
              <w:t>5</w:t>
            </w:r>
            <w:r w:rsidR="0090359E" w:rsidRPr="0090359E">
              <w:rPr>
                <w:rFonts w:ascii="Calibri" w:eastAsia="Times New Roman" w:hAnsi="Calibri" w:cs="Calibri"/>
                <w:color w:val="000000"/>
              </w:rPr>
              <w:t>%</w:t>
            </w:r>
          </w:p>
        </w:tc>
      </w:tr>
      <w:tr w:rsidR="0090359E" w:rsidRPr="0090359E" w14:paraId="02734EC1" w14:textId="77777777" w:rsidTr="0090359E">
        <w:trPr>
          <w:trHeight w:val="312"/>
        </w:trPr>
        <w:tc>
          <w:tcPr>
            <w:tcW w:w="3144" w:type="dxa"/>
            <w:shd w:val="clear" w:color="auto" w:fill="auto"/>
            <w:noWrap/>
            <w:vAlign w:val="bottom"/>
            <w:hideMark/>
          </w:tcPr>
          <w:p w14:paraId="6C7B1E0B" w14:textId="77777777" w:rsidR="0090359E" w:rsidRPr="0090359E" w:rsidRDefault="0090359E" w:rsidP="0090359E">
            <w:pPr>
              <w:spacing w:after="0" w:line="240" w:lineRule="auto"/>
              <w:rPr>
                <w:rFonts w:ascii="Calibri" w:eastAsia="Times New Roman" w:hAnsi="Calibri" w:cs="Calibri"/>
                <w:color w:val="000000"/>
              </w:rPr>
            </w:pPr>
            <w:r w:rsidRPr="0090359E">
              <w:rPr>
                <w:rFonts w:ascii="Calibri" w:eastAsia="Times New Roman" w:hAnsi="Calibri" w:cs="Calibri"/>
                <w:color w:val="000000"/>
              </w:rPr>
              <w:t>Consultant</w:t>
            </w:r>
          </w:p>
        </w:tc>
        <w:tc>
          <w:tcPr>
            <w:tcW w:w="1251" w:type="dxa"/>
            <w:shd w:val="clear" w:color="auto" w:fill="auto"/>
            <w:noWrap/>
            <w:vAlign w:val="bottom"/>
            <w:hideMark/>
          </w:tcPr>
          <w:p w14:paraId="4A3C6A8E" w14:textId="6827ACE7" w:rsidR="0090359E" w:rsidRPr="0090359E" w:rsidRDefault="00D36EAC" w:rsidP="0090359E">
            <w:pPr>
              <w:spacing w:after="0" w:line="240" w:lineRule="auto"/>
              <w:jc w:val="right"/>
              <w:rPr>
                <w:rFonts w:ascii="Calibri" w:eastAsia="Times New Roman" w:hAnsi="Calibri" w:cs="Calibri"/>
                <w:color w:val="000000"/>
              </w:rPr>
            </w:pPr>
            <w:r>
              <w:rPr>
                <w:rFonts w:ascii="Calibri" w:eastAsia="Times New Roman" w:hAnsi="Calibri" w:cs="Calibri"/>
                <w:color w:val="000000"/>
              </w:rPr>
              <w:t>2 (1)</w:t>
            </w:r>
          </w:p>
        </w:tc>
        <w:tc>
          <w:tcPr>
            <w:tcW w:w="1262" w:type="dxa"/>
            <w:shd w:val="clear" w:color="auto" w:fill="auto"/>
            <w:noWrap/>
            <w:vAlign w:val="bottom"/>
            <w:hideMark/>
          </w:tcPr>
          <w:p w14:paraId="0AD0AC6C" w14:textId="77777777" w:rsidR="0090359E" w:rsidRPr="0090359E" w:rsidRDefault="0090359E" w:rsidP="0090359E">
            <w:pPr>
              <w:spacing w:after="0" w:line="240" w:lineRule="auto"/>
              <w:jc w:val="right"/>
              <w:rPr>
                <w:rFonts w:ascii="Calibri" w:eastAsia="Times New Roman" w:hAnsi="Calibri" w:cs="Calibri"/>
                <w:color w:val="000000"/>
              </w:rPr>
            </w:pPr>
            <w:r w:rsidRPr="0090359E">
              <w:rPr>
                <w:rFonts w:ascii="Calibri" w:eastAsia="Times New Roman" w:hAnsi="Calibri" w:cs="Calibri"/>
                <w:color w:val="000000"/>
              </w:rPr>
              <w:t>3%</w:t>
            </w:r>
          </w:p>
        </w:tc>
      </w:tr>
      <w:tr w:rsidR="0090359E" w:rsidRPr="0090359E" w14:paraId="5522CE2B" w14:textId="77777777" w:rsidTr="0090359E">
        <w:trPr>
          <w:trHeight w:val="312"/>
        </w:trPr>
        <w:tc>
          <w:tcPr>
            <w:tcW w:w="3144" w:type="dxa"/>
            <w:shd w:val="clear" w:color="auto" w:fill="auto"/>
            <w:noWrap/>
            <w:vAlign w:val="bottom"/>
            <w:hideMark/>
          </w:tcPr>
          <w:p w14:paraId="72C79CDB" w14:textId="77777777" w:rsidR="0090359E" w:rsidRPr="0090359E" w:rsidRDefault="0090359E" w:rsidP="0090359E">
            <w:pPr>
              <w:spacing w:after="0" w:line="240" w:lineRule="auto"/>
              <w:rPr>
                <w:rFonts w:ascii="Calibri" w:eastAsia="Times New Roman" w:hAnsi="Calibri" w:cs="Calibri"/>
                <w:b/>
                <w:bCs/>
                <w:color w:val="000000"/>
              </w:rPr>
            </w:pPr>
            <w:r w:rsidRPr="0090359E">
              <w:rPr>
                <w:rFonts w:ascii="Calibri" w:eastAsia="Times New Roman" w:hAnsi="Calibri" w:cs="Calibri"/>
                <w:b/>
                <w:bCs/>
                <w:color w:val="000000"/>
              </w:rPr>
              <w:t>Total</w:t>
            </w:r>
          </w:p>
        </w:tc>
        <w:tc>
          <w:tcPr>
            <w:tcW w:w="1251" w:type="dxa"/>
            <w:shd w:val="clear" w:color="auto" w:fill="auto"/>
            <w:noWrap/>
            <w:vAlign w:val="bottom"/>
            <w:hideMark/>
          </w:tcPr>
          <w:p w14:paraId="6ED9755E" w14:textId="2EF16A0C" w:rsidR="0090359E" w:rsidRPr="0090359E" w:rsidRDefault="00D36EAC" w:rsidP="0090359E">
            <w:pPr>
              <w:spacing w:after="0" w:line="240" w:lineRule="auto"/>
              <w:jc w:val="right"/>
              <w:rPr>
                <w:rFonts w:ascii="Calibri" w:eastAsia="Times New Roman" w:hAnsi="Calibri" w:cs="Calibri"/>
                <w:color w:val="000000"/>
              </w:rPr>
            </w:pPr>
            <w:r>
              <w:rPr>
                <w:rFonts w:ascii="Calibri" w:eastAsia="Times New Roman" w:hAnsi="Calibri" w:cs="Calibri"/>
                <w:color w:val="000000"/>
              </w:rPr>
              <w:t>79</w:t>
            </w:r>
          </w:p>
        </w:tc>
        <w:tc>
          <w:tcPr>
            <w:tcW w:w="1262" w:type="dxa"/>
            <w:shd w:val="clear" w:color="auto" w:fill="auto"/>
            <w:noWrap/>
            <w:vAlign w:val="bottom"/>
            <w:hideMark/>
          </w:tcPr>
          <w:p w14:paraId="27788213" w14:textId="77777777" w:rsidR="0090359E" w:rsidRPr="0090359E" w:rsidRDefault="0090359E" w:rsidP="0090359E">
            <w:pPr>
              <w:spacing w:after="0" w:line="240" w:lineRule="auto"/>
              <w:jc w:val="right"/>
              <w:rPr>
                <w:rFonts w:ascii="Calibri" w:eastAsia="Times New Roman" w:hAnsi="Calibri" w:cs="Calibri"/>
                <w:color w:val="000000"/>
              </w:rPr>
            </w:pPr>
            <w:r w:rsidRPr="0090359E">
              <w:rPr>
                <w:rFonts w:ascii="Calibri" w:eastAsia="Times New Roman" w:hAnsi="Calibri" w:cs="Calibri"/>
                <w:color w:val="000000"/>
              </w:rPr>
              <w:t>100%</w:t>
            </w:r>
          </w:p>
        </w:tc>
      </w:tr>
    </w:tbl>
    <w:p w14:paraId="334C3B76" w14:textId="579A88D8" w:rsidR="0090359E" w:rsidRPr="004C12EA" w:rsidRDefault="004C12EA" w:rsidP="004C12EA">
      <w:pPr>
        <w:rPr>
          <w:sz w:val="20"/>
        </w:rPr>
      </w:pPr>
      <w:r w:rsidRPr="004C12EA">
        <w:rPr>
          <w:b/>
          <w:sz w:val="20"/>
        </w:rPr>
        <w:t xml:space="preserve">Table 1. Role </w:t>
      </w:r>
      <w:r w:rsidR="004F6D3B">
        <w:rPr>
          <w:b/>
          <w:sz w:val="20"/>
        </w:rPr>
        <w:t>B</w:t>
      </w:r>
      <w:r w:rsidR="004F6D3B" w:rsidRPr="004C12EA">
        <w:rPr>
          <w:b/>
          <w:sz w:val="20"/>
        </w:rPr>
        <w:t xml:space="preserve">reakdown </w:t>
      </w:r>
      <w:r w:rsidRPr="004C12EA">
        <w:rPr>
          <w:b/>
          <w:sz w:val="20"/>
        </w:rPr>
        <w:t xml:space="preserve">for Annual Conference </w:t>
      </w:r>
      <w:r w:rsidR="004F6D3B">
        <w:rPr>
          <w:b/>
          <w:sz w:val="20"/>
        </w:rPr>
        <w:t>A</w:t>
      </w:r>
      <w:r w:rsidR="004F6D3B" w:rsidRPr="004C12EA">
        <w:rPr>
          <w:b/>
          <w:sz w:val="20"/>
        </w:rPr>
        <w:t xml:space="preserve">ttendees </w:t>
      </w:r>
      <w:r w:rsidR="003B2B00" w:rsidRPr="004C12EA">
        <w:rPr>
          <w:b/>
          <w:sz w:val="20"/>
        </w:rPr>
        <w:t>Who</w:t>
      </w:r>
      <w:r w:rsidRPr="004C12EA">
        <w:rPr>
          <w:b/>
          <w:sz w:val="20"/>
        </w:rPr>
        <w:t xml:space="preserve"> Responded to the Evaluation</w:t>
      </w:r>
    </w:p>
    <w:p w14:paraId="0E91F0AB" w14:textId="5D466213" w:rsidR="009106BE" w:rsidRDefault="00BF5754" w:rsidP="00FB1419">
      <w:r>
        <w:t xml:space="preserve">On the evaluation, attendees reported on </w:t>
      </w:r>
      <w:r w:rsidR="00856C68">
        <w:t>both</w:t>
      </w:r>
      <w:r>
        <w:t xml:space="preserve"> the</w:t>
      </w:r>
      <w:r w:rsidR="00CB50FD">
        <w:t>ir perceptions of (1) the</w:t>
      </w:r>
      <w:r w:rsidR="00515E4B">
        <w:t xml:space="preserve"> 2019</w:t>
      </w:r>
      <w:r>
        <w:t xml:space="preserve"> NECAFS Annual Conference</w:t>
      </w:r>
      <w:r w:rsidR="00856C68">
        <w:t xml:space="preserve"> </w:t>
      </w:r>
      <w:r w:rsidR="00370297">
        <w:t xml:space="preserve">and Meeting </w:t>
      </w:r>
      <w:r w:rsidR="00856C68">
        <w:t xml:space="preserve">and </w:t>
      </w:r>
      <w:r w:rsidR="00CB50FD">
        <w:t xml:space="preserve">(2) </w:t>
      </w:r>
      <w:r w:rsidR="00856C68">
        <w:t xml:space="preserve">the NECAFS resources </w:t>
      </w:r>
      <w:r w:rsidR="00CB50FD">
        <w:t xml:space="preserve">that were made </w:t>
      </w:r>
      <w:r w:rsidR="00856C68">
        <w:t>available throughout the</w:t>
      </w:r>
      <w:r w:rsidR="00CB50FD">
        <w:t xml:space="preserve"> previous</w:t>
      </w:r>
      <w:r w:rsidR="00856C68">
        <w:t xml:space="preserve"> year</w:t>
      </w:r>
      <w:r w:rsidR="004C12EA">
        <w:t>. The</w:t>
      </w:r>
      <w:r w:rsidR="00CB50FD">
        <w:t xml:space="preserve"> evaluation was designed to allow </w:t>
      </w:r>
      <w:r w:rsidR="00145E0A">
        <w:t xml:space="preserve">NECAFS staff </w:t>
      </w:r>
      <w:r w:rsidR="00CB50FD">
        <w:t xml:space="preserve">to understand if and how both of these </w:t>
      </w:r>
      <w:r w:rsidR="009106BE">
        <w:t>impact</w:t>
      </w:r>
      <w:r w:rsidR="00CB50FD">
        <w:t>ed</w:t>
      </w:r>
      <w:r w:rsidR="009106BE">
        <w:t xml:space="preserve"> </w:t>
      </w:r>
      <w:r w:rsidR="00856C68">
        <w:t>the</w:t>
      </w:r>
      <w:r w:rsidR="00CB50FD">
        <w:t xml:space="preserve"> respondents’ </w:t>
      </w:r>
      <w:r w:rsidR="00856C68">
        <w:t>regional food safety work.</w:t>
      </w:r>
      <w:r w:rsidR="00C35D39">
        <w:t xml:space="preserve"> </w:t>
      </w:r>
      <w:r w:rsidR="007D63CC">
        <w:t>Regarding the Annual Conference</w:t>
      </w:r>
      <w:r w:rsidR="00370297">
        <w:t xml:space="preserve"> and Meeting</w:t>
      </w:r>
      <w:r w:rsidR="007D63CC">
        <w:t xml:space="preserve">, we asked specifically if </w:t>
      </w:r>
      <w:r w:rsidR="002D12B3">
        <w:t xml:space="preserve">attendees </w:t>
      </w:r>
      <w:r w:rsidR="007D63CC">
        <w:t>learned something or met someone new and, if so, what they learn</w:t>
      </w:r>
      <w:r w:rsidR="002D12B3">
        <w:t>ed</w:t>
      </w:r>
      <w:r w:rsidR="007D63CC">
        <w:t xml:space="preserve"> and </w:t>
      </w:r>
      <w:r w:rsidR="002D12B3">
        <w:t xml:space="preserve">if </w:t>
      </w:r>
      <w:r w:rsidR="007D63CC">
        <w:t xml:space="preserve">this new knowledge or new relationship </w:t>
      </w:r>
      <w:r w:rsidR="002D12B3">
        <w:t xml:space="preserve">would </w:t>
      </w:r>
      <w:r w:rsidR="007D63CC">
        <w:t>change their approach to FSMA and food safety in general.</w:t>
      </w:r>
      <w:r w:rsidR="00C35D39">
        <w:t xml:space="preserve"> </w:t>
      </w:r>
      <w:r w:rsidR="007D63CC">
        <w:t xml:space="preserve">Further, </w:t>
      </w:r>
      <w:r w:rsidR="00145E0A">
        <w:t xml:space="preserve">the evaluation </w:t>
      </w:r>
      <w:r w:rsidR="007D63CC">
        <w:t xml:space="preserve">asked what key food safety challenges </w:t>
      </w:r>
      <w:r w:rsidR="002D12B3">
        <w:t>individuals saw</w:t>
      </w:r>
      <w:r w:rsidR="007D63CC">
        <w:t xml:space="preserve"> in our region and/or in their state.</w:t>
      </w:r>
      <w:r w:rsidR="00C35D39">
        <w:t xml:space="preserve"> </w:t>
      </w:r>
      <w:r w:rsidR="00844963">
        <w:t xml:space="preserve">Regarding the resources made available by </w:t>
      </w:r>
      <w:r w:rsidR="007D63CC">
        <w:t xml:space="preserve">NECAFS throughout the year, </w:t>
      </w:r>
      <w:r w:rsidR="00145E0A">
        <w:t xml:space="preserve">respondents </w:t>
      </w:r>
      <w:r w:rsidR="007D63CC">
        <w:t>we</w:t>
      </w:r>
      <w:r w:rsidR="00145E0A">
        <w:t>re</w:t>
      </w:r>
      <w:r w:rsidR="007D63CC">
        <w:t xml:space="preserve"> asked if resources helped improve </w:t>
      </w:r>
      <w:r w:rsidR="00145E0A">
        <w:t xml:space="preserve">their </w:t>
      </w:r>
      <w:r w:rsidR="008E7E5E">
        <w:t>ability to provide</w:t>
      </w:r>
      <w:r w:rsidR="00844963">
        <w:t xml:space="preserve"> </w:t>
      </w:r>
      <w:r w:rsidR="007D63CC">
        <w:t>food safety training, education and/or outreach and, if so, how.</w:t>
      </w:r>
      <w:r w:rsidR="00C35D39">
        <w:t xml:space="preserve"> </w:t>
      </w:r>
      <w:r w:rsidR="007D63CC">
        <w:t>Finally, attendees rated NECAFS in the areas of regional communication, building regional capacity, competence, and colla</w:t>
      </w:r>
      <w:r w:rsidR="00D968D9">
        <w:t xml:space="preserve">boration </w:t>
      </w:r>
      <w:r w:rsidR="002D12B3">
        <w:t xml:space="preserve">while </w:t>
      </w:r>
      <w:r w:rsidR="00D968D9">
        <w:t>developing and delivering educational programs.</w:t>
      </w:r>
      <w:r w:rsidR="00C35D39">
        <w:t xml:space="preserve"> </w:t>
      </w:r>
    </w:p>
    <w:p w14:paraId="6CFA094B" w14:textId="77777777" w:rsidR="00515E4B" w:rsidRDefault="00515E4B" w:rsidP="00515E4B">
      <w:pPr>
        <w:rPr>
          <w:sz w:val="32"/>
          <w:szCs w:val="32"/>
        </w:rPr>
      </w:pPr>
      <w:r w:rsidRPr="009106BE">
        <w:rPr>
          <w:sz w:val="32"/>
          <w:szCs w:val="32"/>
        </w:rPr>
        <w:t xml:space="preserve">NECAFS Annual Conference </w:t>
      </w:r>
      <w:r>
        <w:rPr>
          <w:sz w:val="32"/>
          <w:szCs w:val="32"/>
        </w:rPr>
        <w:t xml:space="preserve">and Meeting </w:t>
      </w:r>
      <w:r w:rsidRPr="009106BE">
        <w:rPr>
          <w:sz w:val="32"/>
          <w:szCs w:val="32"/>
        </w:rPr>
        <w:t>Impact Results</w:t>
      </w:r>
    </w:p>
    <w:p w14:paraId="4F438140" w14:textId="77777777" w:rsidR="00515E4B" w:rsidRDefault="00515E4B" w:rsidP="00515E4B">
      <w:pPr>
        <w:rPr>
          <w:i/>
          <w:sz w:val="26"/>
          <w:szCs w:val="26"/>
        </w:rPr>
      </w:pPr>
      <w:r>
        <w:rPr>
          <w:i/>
          <w:sz w:val="26"/>
          <w:szCs w:val="26"/>
        </w:rPr>
        <w:t>Development of 2019 Annual Conference and Meeting</w:t>
      </w:r>
    </w:p>
    <w:p w14:paraId="6BC24997" w14:textId="0B03B32D" w:rsidR="00515E4B" w:rsidRDefault="00515E4B" w:rsidP="00515E4B">
      <w:r>
        <w:rPr>
          <w:szCs w:val="32"/>
        </w:rPr>
        <w:lastRenderedPageBreak/>
        <w:t>The style of the 2019 NECAFS Annual Conference and Meeting was different from the 2018 Annual Conference and Meeting where</w:t>
      </w:r>
      <w:r w:rsidR="004C12EA">
        <w:rPr>
          <w:szCs w:val="32"/>
        </w:rPr>
        <w:t>, in 2018,</w:t>
      </w:r>
      <w:r>
        <w:rPr>
          <w:szCs w:val="32"/>
        </w:rPr>
        <w:t xml:space="preserve"> the </w:t>
      </w:r>
      <w:r w:rsidR="002D12B3">
        <w:rPr>
          <w:szCs w:val="32"/>
        </w:rPr>
        <w:t xml:space="preserve">first </w:t>
      </w:r>
      <w:r>
        <w:rPr>
          <w:szCs w:val="32"/>
        </w:rPr>
        <w:t xml:space="preserve">day </w:t>
      </w:r>
      <w:r>
        <w:t>focused on workgroup meetings dedicated to Produce Safety and Preventive Controls for Human Food in two parallel tracks.</w:t>
      </w:r>
      <w:r w:rsidR="00C35D39">
        <w:t xml:space="preserve"> </w:t>
      </w:r>
      <w:r>
        <w:t xml:space="preserve">The </w:t>
      </w:r>
      <w:r w:rsidR="002D12B3">
        <w:t xml:space="preserve">second </w:t>
      </w:r>
      <w:r>
        <w:t xml:space="preserve">day </w:t>
      </w:r>
      <w:r w:rsidR="007B2E6A">
        <w:t xml:space="preserve">in 2018 </w:t>
      </w:r>
      <w:r>
        <w:t>featured a joint conference session that included a keynote address from STOP Foodborne Illness, presentations from representatives of each Northeast state providing regulatory, research and extension updates, and three panel sessions that highlighted producers, processors and buyers.</w:t>
      </w:r>
      <w:r w:rsidR="00C35D39">
        <w:t xml:space="preserve"> </w:t>
      </w:r>
      <w:r>
        <w:t xml:space="preserve"> </w:t>
      </w:r>
    </w:p>
    <w:p w14:paraId="42B306A5" w14:textId="30A15DF9" w:rsidR="00515E4B" w:rsidRDefault="00515E4B" w:rsidP="00515E4B">
      <w:pPr>
        <w:rPr>
          <w:szCs w:val="32"/>
        </w:rPr>
      </w:pPr>
      <w:r>
        <w:rPr>
          <w:szCs w:val="32"/>
        </w:rPr>
        <w:t xml:space="preserve">The 2019 agendas were developed based on several forms of direct feedback from </w:t>
      </w:r>
      <w:r w:rsidR="00323FC9">
        <w:rPr>
          <w:szCs w:val="32"/>
        </w:rPr>
        <w:t>both 2018 Conference attendees and general NECAFS network members</w:t>
      </w:r>
      <w:r>
        <w:rPr>
          <w:szCs w:val="32"/>
        </w:rPr>
        <w:t xml:space="preserve"> ahead of the meeting.</w:t>
      </w:r>
      <w:r w:rsidR="00C35D39">
        <w:rPr>
          <w:szCs w:val="32"/>
        </w:rPr>
        <w:t xml:space="preserve"> </w:t>
      </w:r>
      <w:r w:rsidR="002D12B3">
        <w:rPr>
          <w:szCs w:val="32"/>
        </w:rPr>
        <w:t>NECAFS Conference planners were guided by the fact that</w:t>
      </w:r>
      <w:r>
        <w:rPr>
          <w:szCs w:val="32"/>
        </w:rPr>
        <w:t xml:space="preserve"> 2018 </w:t>
      </w:r>
      <w:r w:rsidR="00323FC9">
        <w:rPr>
          <w:szCs w:val="32"/>
        </w:rPr>
        <w:t xml:space="preserve">survey </w:t>
      </w:r>
      <w:r>
        <w:rPr>
          <w:szCs w:val="32"/>
        </w:rPr>
        <w:t xml:space="preserve">respondents articulated that </w:t>
      </w:r>
      <w:r>
        <w:rPr>
          <w:szCs w:val="26"/>
        </w:rPr>
        <w:t xml:space="preserve">growers and processors do not understand how the </w:t>
      </w:r>
      <w:r w:rsidR="002D12B3">
        <w:rPr>
          <w:szCs w:val="26"/>
        </w:rPr>
        <w:t xml:space="preserve">FSMA </w:t>
      </w:r>
      <w:r>
        <w:rPr>
          <w:szCs w:val="26"/>
        </w:rPr>
        <w:t>applies on an individual basis and that there are not sufficient educational resources available to help with implementation efforts.</w:t>
      </w:r>
      <w:r w:rsidR="00C35D39">
        <w:rPr>
          <w:szCs w:val="32"/>
        </w:rPr>
        <w:t xml:space="preserve"> </w:t>
      </w:r>
      <w:r>
        <w:rPr>
          <w:szCs w:val="32"/>
        </w:rPr>
        <w:t>Second</w:t>
      </w:r>
      <w:r w:rsidR="00323FC9">
        <w:rPr>
          <w:szCs w:val="32"/>
        </w:rPr>
        <w:t>ly</w:t>
      </w:r>
      <w:r>
        <w:rPr>
          <w:szCs w:val="32"/>
        </w:rPr>
        <w:t xml:space="preserve">, the NECAFS network </w:t>
      </w:r>
      <w:r w:rsidR="00145E0A">
        <w:rPr>
          <w:szCs w:val="32"/>
        </w:rPr>
        <w:t xml:space="preserve">was surveyed </w:t>
      </w:r>
      <w:r w:rsidR="00323FC9">
        <w:rPr>
          <w:szCs w:val="32"/>
        </w:rPr>
        <w:t xml:space="preserve">seven </w:t>
      </w:r>
      <w:r>
        <w:rPr>
          <w:szCs w:val="32"/>
        </w:rPr>
        <w:t>m</w:t>
      </w:r>
      <w:r w:rsidR="005E1B41">
        <w:rPr>
          <w:szCs w:val="32"/>
        </w:rPr>
        <w:t>onths ahead of the 2019 meeting</w:t>
      </w:r>
      <w:r>
        <w:rPr>
          <w:szCs w:val="32"/>
        </w:rPr>
        <w:t xml:space="preserve"> </w:t>
      </w:r>
      <w:r w:rsidR="00323FC9">
        <w:rPr>
          <w:szCs w:val="32"/>
        </w:rPr>
        <w:t xml:space="preserve">and </w:t>
      </w:r>
      <w:r w:rsidR="00145E0A">
        <w:rPr>
          <w:szCs w:val="32"/>
        </w:rPr>
        <w:t>indicated</w:t>
      </w:r>
      <w:r w:rsidR="00323FC9">
        <w:rPr>
          <w:szCs w:val="32"/>
        </w:rPr>
        <w:t xml:space="preserve"> that </w:t>
      </w:r>
      <w:r w:rsidR="00145E0A">
        <w:rPr>
          <w:szCs w:val="32"/>
        </w:rPr>
        <w:t xml:space="preserve">they </w:t>
      </w:r>
      <w:r>
        <w:rPr>
          <w:szCs w:val="32"/>
        </w:rPr>
        <w:t xml:space="preserve">wanted to hear updates from the FDA, USDA, </w:t>
      </w:r>
      <w:r w:rsidR="00145E0A">
        <w:rPr>
          <w:szCs w:val="32"/>
        </w:rPr>
        <w:t xml:space="preserve">and </w:t>
      </w:r>
      <w:r>
        <w:rPr>
          <w:szCs w:val="32"/>
        </w:rPr>
        <w:t>state partners</w:t>
      </w:r>
      <w:r w:rsidR="00145E0A">
        <w:rPr>
          <w:szCs w:val="32"/>
        </w:rPr>
        <w:t>, as well as</w:t>
      </w:r>
      <w:r w:rsidR="003B2B00">
        <w:rPr>
          <w:szCs w:val="32"/>
        </w:rPr>
        <w:t xml:space="preserve"> </w:t>
      </w:r>
      <w:r>
        <w:rPr>
          <w:szCs w:val="32"/>
        </w:rPr>
        <w:t xml:space="preserve">other project efforts </w:t>
      </w:r>
      <w:r w:rsidRPr="003B2B00">
        <w:rPr>
          <w:i/>
          <w:szCs w:val="32"/>
        </w:rPr>
        <w:t>in a condensed fashion</w:t>
      </w:r>
      <w:r w:rsidR="00323FC9">
        <w:rPr>
          <w:szCs w:val="32"/>
        </w:rPr>
        <w:t>,</w:t>
      </w:r>
      <w:r>
        <w:rPr>
          <w:szCs w:val="32"/>
        </w:rPr>
        <w:t xml:space="preserve"> allow</w:t>
      </w:r>
      <w:r w:rsidR="00323FC9">
        <w:rPr>
          <w:szCs w:val="32"/>
        </w:rPr>
        <w:t>ing</w:t>
      </w:r>
      <w:r>
        <w:rPr>
          <w:szCs w:val="32"/>
        </w:rPr>
        <w:t xml:space="preserve"> information to be conveyed b</w:t>
      </w:r>
      <w:r w:rsidR="00323FC9">
        <w:rPr>
          <w:szCs w:val="32"/>
        </w:rPr>
        <w:t>ut</w:t>
      </w:r>
      <w:r>
        <w:rPr>
          <w:szCs w:val="32"/>
        </w:rPr>
        <w:t xml:space="preserve"> not tak</w:t>
      </w:r>
      <w:r w:rsidR="00323FC9">
        <w:rPr>
          <w:szCs w:val="32"/>
        </w:rPr>
        <w:t>ing</w:t>
      </w:r>
      <w:r>
        <w:rPr>
          <w:szCs w:val="32"/>
        </w:rPr>
        <w:t xml:space="preserve"> u</w:t>
      </w:r>
      <w:r w:rsidR="004C12EA">
        <w:rPr>
          <w:szCs w:val="32"/>
        </w:rPr>
        <w:t>p a lot of presentation time.</w:t>
      </w:r>
      <w:r w:rsidR="00C35D39">
        <w:rPr>
          <w:szCs w:val="32"/>
        </w:rPr>
        <w:t xml:space="preserve"> </w:t>
      </w:r>
      <w:r w:rsidR="004C12EA">
        <w:rPr>
          <w:szCs w:val="32"/>
        </w:rPr>
        <w:t>Also, r</w:t>
      </w:r>
      <w:r>
        <w:rPr>
          <w:szCs w:val="32"/>
        </w:rPr>
        <w:t xml:space="preserve">espondents overwhelmingly (74%) said that they wanted parallel sessions focused on individual topics (produce safety, preventive controls, </w:t>
      </w:r>
      <w:r w:rsidR="003B2B00">
        <w:rPr>
          <w:szCs w:val="32"/>
        </w:rPr>
        <w:t xml:space="preserve">coordination with </w:t>
      </w:r>
      <w:r>
        <w:rPr>
          <w:szCs w:val="32"/>
        </w:rPr>
        <w:t>buyers</w:t>
      </w:r>
      <w:r w:rsidR="005E1B41">
        <w:rPr>
          <w:szCs w:val="32"/>
        </w:rPr>
        <w:t>)</w:t>
      </w:r>
      <w:r>
        <w:rPr>
          <w:szCs w:val="32"/>
        </w:rPr>
        <w:t xml:space="preserve"> rather than a general session that covered all topics.</w:t>
      </w:r>
      <w:r w:rsidR="00C35D39">
        <w:rPr>
          <w:szCs w:val="32"/>
        </w:rPr>
        <w:t xml:space="preserve"> </w:t>
      </w:r>
    </w:p>
    <w:p w14:paraId="6912AD9F" w14:textId="1CEF4626" w:rsidR="00515E4B" w:rsidRDefault="00515E4B" w:rsidP="00515E4B">
      <w:pPr>
        <w:rPr>
          <w:szCs w:val="32"/>
        </w:rPr>
      </w:pPr>
      <w:r>
        <w:rPr>
          <w:szCs w:val="32"/>
        </w:rPr>
        <w:t>Six session</w:t>
      </w:r>
      <w:r w:rsidR="005E1B41">
        <w:rPr>
          <w:szCs w:val="32"/>
        </w:rPr>
        <w:t>s</w:t>
      </w:r>
      <w:r>
        <w:rPr>
          <w:szCs w:val="32"/>
        </w:rPr>
        <w:t xml:space="preserve"> were held at the 2019 NECAFS Annual</w:t>
      </w:r>
      <w:r w:rsidR="004C12EA">
        <w:rPr>
          <w:szCs w:val="32"/>
        </w:rPr>
        <w:t xml:space="preserve"> Conference and Meeting (</w:t>
      </w:r>
      <w:r w:rsidR="004C12EA" w:rsidRPr="004C12EA">
        <w:rPr>
          <w:b/>
          <w:szCs w:val="32"/>
        </w:rPr>
        <w:t>Table 2</w:t>
      </w:r>
      <w:r>
        <w:rPr>
          <w:szCs w:val="32"/>
        </w:rPr>
        <w:t>.)</w:t>
      </w:r>
      <w:r w:rsidR="00C35D39">
        <w:rPr>
          <w:szCs w:val="32"/>
        </w:rPr>
        <w:t xml:space="preserve"> </w:t>
      </w:r>
      <w:r>
        <w:rPr>
          <w:szCs w:val="32"/>
        </w:rPr>
        <w:t xml:space="preserve">Based on above described feedback, individual session agendas were developed in order to ensure that topics covered were most relevant to the attendees and addressed remaining food safety challenges articulated </w:t>
      </w:r>
      <w:r w:rsidR="008E0B32">
        <w:rPr>
          <w:szCs w:val="32"/>
        </w:rPr>
        <w:t xml:space="preserve">within </w:t>
      </w:r>
      <w:r>
        <w:rPr>
          <w:szCs w:val="32"/>
        </w:rPr>
        <w:t>the 2018 Annual Conference and Meeting evaluations.</w:t>
      </w:r>
      <w:r w:rsidR="00C35D39">
        <w:rPr>
          <w:szCs w:val="32"/>
        </w:rPr>
        <w:t xml:space="preserve"> </w:t>
      </w:r>
    </w:p>
    <w:tbl>
      <w:tblPr>
        <w:tblStyle w:val="TableGrid"/>
        <w:tblW w:w="0" w:type="auto"/>
        <w:tblLook w:val="04A0" w:firstRow="1" w:lastRow="0" w:firstColumn="1" w:lastColumn="0" w:noHBand="0" w:noVBand="1"/>
      </w:tblPr>
      <w:tblGrid>
        <w:gridCol w:w="4675"/>
        <w:gridCol w:w="4675"/>
      </w:tblGrid>
      <w:tr w:rsidR="00515E4B" w14:paraId="2B96FDF7" w14:textId="77777777" w:rsidTr="00C77B6D">
        <w:tc>
          <w:tcPr>
            <w:tcW w:w="4675" w:type="dxa"/>
          </w:tcPr>
          <w:p w14:paraId="0C9BAA1F" w14:textId="77777777" w:rsidR="00515E4B" w:rsidRPr="00E9539A" w:rsidRDefault="00515E4B" w:rsidP="00C77B6D">
            <w:pPr>
              <w:rPr>
                <w:b/>
                <w:szCs w:val="32"/>
              </w:rPr>
            </w:pPr>
            <w:r w:rsidRPr="00E9539A">
              <w:rPr>
                <w:b/>
                <w:szCs w:val="32"/>
              </w:rPr>
              <w:t>Session Title</w:t>
            </w:r>
          </w:p>
        </w:tc>
        <w:tc>
          <w:tcPr>
            <w:tcW w:w="4675" w:type="dxa"/>
          </w:tcPr>
          <w:p w14:paraId="4ADA1651" w14:textId="625379B0" w:rsidR="00515E4B" w:rsidRPr="00E9539A" w:rsidRDefault="009A27D9" w:rsidP="00C77B6D">
            <w:pPr>
              <w:rPr>
                <w:b/>
                <w:szCs w:val="32"/>
              </w:rPr>
            </w:pPr>
            <w:r>
              <w:rPr>
                <w:b/>
                <w:szCs w:val="32"/>
              </w:rPr>
              <w:t>Overall goal</w:t>
            </w:r>
            <w:r w:rsidR="00515E4B" w:rsidRPr="00E9539A">
              <w:rPr>
                <w:b/>
                <w:szCs w:val="32"/>
              </w:rPr>
              <w:t xml:space="preserve"> of meeting</w:t>
            </w:r>
          </w:p>
        </w:tc>
      </w:tr>
      <w:tr w:rsidR="00515E4B" w14:paraId="64348B3A" w14:textId="77777777" w:rsidTr="00C77B6D">
        <w:tc>
          <w:tcPr>
            <w:tcW w:w="4675" w:type="dxa"/>
          </w:tcPr>
          <w:p w14:paraId="5A99ACB8" w14:textId="77777777" w:rsidR="00515E4B" w:rsidRPr="00E9539A" w:rsidRDefault="00515E4B" w:rsidP="00C77B6D">
            <w:pPr>
              <w:rPr>
                <w:rFonts w:cstheme="minorHAnsi"/>
                <w:szCs w:val="20"/>
              </w:rPr>
            </w:pPr>
            <w:r w:rsidRPr="00E9539A">
              <w:rPr>
                <w:rFonts w:cstheme="minorHAnsi"/>
                <w:szCs w:val="20"/>
              </w:rPr>
              <w:t>Preventive Controls Workgroup Meeting</w:t>
            </w:r>
          </w:p>
        </w:tc>
        <w:tc>
          <w:tcPr>
            <w:tcW w:w="4675" w:type="dxa"/>
          </w:tcPr>
          <w:p w14:paraId="5483ED54" w14:textId="7198BFD1" w:rsidR="00515E4B" w:rsidRDefault="00515E4B" w:rsidP="008E0B32">
            <w:pPr>
              <w:rPr>
                <w:szCs w:val="32"/>
              </w:rPr>
            </w:pPr>
            <w:r w:rsidRPr="00A67CDB">
              <w:t>Provide national updates related to Preventive Controls and communicate and coordinate NECAFS workgroup activities.</w:t>
            </w:r>
          </w:p>
        </w:tc>
      </w:tr>
      <w:tr w:rsidR="00515E4B" w14:paraId="22F7D773" w14:textId="77777777" w:rsidTr="00C77B6D">
        <w:tc>
          <w:tcPr>
            <w:tcW w:w="4675" w:type="dxa"/>
          </w:tcPr>
          <w:p w14:paraId="4ECE167F" w14:textId="77777777" w:rsidR="00515E4B" w:rsidRDefault="00515E4B" w:rsidP="00C77B6D">
            <w:pPr>
              <w:rPr>
                <w:szCs w:val="32"/>
              </w:rPr>
            </w:pPr>
            <w:r>
              <w:rPr>
                <w:szCs w:val="32"/>
              </w:rPr>
              <w:t>Produce Safety Workgroup Meeting</w:t>
            </w:r>
          </w:p>
        </w:tc>
        <w:tc>
          <w:tcPr>
            <w:tcW w:w="4675" w:type="dxa"/>
          </w:tcPr>
          <w:p w14:paraId="5341EB97" w14:textId="1E901736" w:rsidR="00515E4B" w:rsidRDefault="00515E4B" w:rsidP="008E0B32">
            <w:pPr>
              <w:tabs>
                <w:tab w:val="left" w:pos="3380"/>
              </w:tabs>
              <w:rPr>
                <w:szCs w:val="32"/>
              </w:rPr>
            </w:pPr>
            <w:r>
              <w:t>Provide updates related to produce safety and on-farm readiness review and share information among state partners to enhance regional programming.</w:t>
            </w:r>
          </w:p>
        </w:tc>
      </w:tr>
      <w:tr w:rsidR="00515E4B" w14:paraId="09DC25FF" w14:textId="77777777" w:rsidTr="00C77B6D">
        <w:tc>
          <w:tcPr>
            <w:tcW w:w="4675" w:type="dxa"/>
          </w:tcPr>
          <w:p w14:paraId="19111738" w14:textId="77777777" w:rsidR="00515E4B" w:rsidRDefault="00515E4B" w:rsidP="00C77B6D">
            <w:pPr>
              <w:rPr>
                <w:szCs w:val="32"/>
              </w:rPr>
            </w:pPr>
            <w:r>
              <w:rPr>
                <w:szCs w:val="32"/>
              </w:rPr>
              <w:t>Produce Safety Educators Workgroup Meeting</w:t>
            </w:r>
          </w:p>
        </w:tc>
        <w:tc>
          <w:tcPr>
            <w:tcW w:w="4675" w:type="dxa"/>
          </w:tcPr>
          <w:p w14:paraId="3FB47AE9" w14:textId="291D69E3" w:rsidR="00515E4B" w:rsidRDefault="00515E4B" w:rsidP="008E0B32">
            <w:pPr>
              <w:rPr>
                <w:szCs w:val="32"/>
              </w:rPr>
            </w:pPr>
            <w:r>
              <w:t>L</w:t>
            </w:r>
            <w:r w:rsidRPr="00480D4A">
              <w:t>earn about resources in development and discuss niche needs for this educator group.</w:t>
            </w:r>
          </w:p>
        </w:tc>
      </w:tr>
      <w:tr w:rsidR="00515E4B" w14:paraId="7BF365FE" w14:textId="77777777" w:rsidTr="00C77B6D">
        <w:tc>
          <w:tcPr>
            <w:tcW w:w="4675" w:type="dxa"/>
          </w:tcPr>
          <w:p w14:paraId="5DAA69F2" w14:textId="77777777" w:rsidR="00515E4B" w:rsidRDefault="00515E4B" w:rsidP="00C77B6D">
            <w:pPr>
              <w:rPr>
                <w:szCs w:val="32"/>
              </w:rPr>
            </w:pPr>
            <w:r>
              <w:rPr>
                <w:szCs w:val="32"/>
              </w:rPr>
              <w:t>Produce Safety Regulators Workgroup Meeting</w:t>
            </w:r>
          </w:p>
        </w:tc>
        <w:tc>
          <w:tcPr>
            <w:tcW w:w="4675" w:type="dxa"/>
          </w:tcPr>
          <w:p w14:paraId="6DAF5F99" w14:textId="47BEFB89" w:rsidR="00515E4B" w:rsidRDefault="00515E4B" w:rsidP="008E0B32">
            <w:pPr>
              <w:rPr>
                <w:szCs w:val="32"/>
              </w:rPr>
            </w:pPr>
            <w:r>
              <w:rPr>
                <w:szCs w:val="32"/>
              </w:rPr>
              <w:t>Discuss and coordinat</w:t>
            </w:r>
            <w:r w:rsidR="008E0B32">
              <w:rPr>
                <w:szCs w:val="32"/>
              </w:rPr>
              <w:t xml:space="preserve">e </w:t>
            </w:r>
            <w:r>
              <w:rPr>
                <w:szCs w:val="32"/>
              </w:rPr>
              <w:t xml:space="preserve">current state implementation activities. </w:t>
            </w:r>
          </w:p>
        </w:tc>
      </w:tr>
      <w:tr w:rsidR="00515E4B" w14:paraId="6712A416" w14:textId="77777777" w:rsidTr="00C77B6D">
        <w:tc>
          <w:tcPr>
            <w:tcW w:w="4675" w:type="dxa"/>
          </w:tcPr>
          <w:p w14:paraId="439CB364" w14:textId="77777777" w:rsidR="00515E4B" w:rsidRDefault="00515E4B" w:rsidP="00C77B6D">
            <w:pPr>
              <w:rPr>
                <w:szCs w:val="32"/>
              </w:rPr>
            </w:pPr>
            <w:r>
              <w:rPr>
                <w:szCs w:val="32"/>
              </w:rPr>
              <w:t>Buyer Workgroup Meeting</w:t>
            </w:r>
          </w:p>
        </w:tc>
        <w:tc>
          <w:tcPr>
            <w:tcW w:w="4675" w:type="dxa"/>
          </w:tcPr>
          <w:p w14:paraId="6D9ACF61" w14:textId="11E06421" w:rsidR="00515E4B" w:rsidRDefault="008E0B32" w:rsidP="008E0B32">
            <w:pPr>
              <w:rPr>
                <w:szCs w:val="32"/>
              </w:rPr>
            </w:pPr>
            <w:r>
              <w:t>Discuss</w:t>
            </w:r>
            <w:r w:rsidR="00515E4B">
              <w:t xml:space="preserve"> </w:t>
            </w:r>
            <w:r>
              <w:t xml:space="preserve">buyer </w:t>
            </w:r>
            <w:r w:rsidR="00515E4B">
              <w:t>expectations and</w:t>
            </w:r>
            <w:r w:rsidR="001A6C24">
              <w:t xml:space="preserve"> </w:t>
            </w:r>
            <w:r w:rsidR="00515E4B">
              <w:t>how</w:t>
            </w:r>
            <w:r>
              <w:t xml:space="preserve"> growers can more easily</w:t>
            </w:r>
            <w:r w:rsidR="008A64F8">
              <w:t xml:space="preserve"> </w:t>
            </w:r>
            <w:r w:rsidR="00515E4B">
              <w:t>navigate and meet the requirements</w:t>
            </w:r>
            <w:r>
              <w:t>.</w:t>
            </w:r>
          </w:p>
        </w:tc>
      </w:tr>
      <w:tr w:rsidR="00515E4B" w14:paraId="469133B0" w14:textId="77777777" w:rsidTr="00C77B6D">
        <w:tc>
          <w:tcPr>
            <w:tcW w:w="4675" w:type="dxa"/>
          </w:tcPr>
          <w:p w14:paraId="512DD6E7" w14:textId="77777777" w:rsidR="00515E4B" w:rsidRDefault="00515E4B" w:rsidP="00C77B6D">
            <w:pPr>
              <w:rPr>
                <w:szCs w:val="32"/>
              </w:rPr>
            </w:pPr>
            <w:r>
              <w:rPr>
                <w:szCs w:val="32"/>
              </w:rPr>
              <w:t>Educational Approaches to Training Delivery</w:t>
            </w:r>
          </w:p>
        </w:tc>
        <w:tc>
          <w:tcPr>
            <w:tcW w:w="4675" w:type="dxa"/>
          </w:tcPr>
          <w:p w14:paraId="669A3FDF" w14:textId="77777777" w:rsidR="00515E4B" w:rsidRDefault="00515E4B" w:rsidP="00C77B6D">
            <w:r w:rsidRPr="00C57E31">
              <w:rPr>
                <w:rFonts w:cstheme="minorHAnsi"/>
              </w:rPr>
              <w:t xml:space="preserve">Provide examples and facilitate discussion on creative solutions and approaches to connect with your training delivery target audience. </w:t>
            </w:r>
          </w:p>
        </w:tc>
      </w:tr>
    </w:tbl>
    <w:p w14:paraId="4B78D36F" w14:textId="5B342BAC" w:rsidR="00515E4B" w:rsidRPr="009A27D9" w:rsidRDefault="00913FA0" w:rsidP="00515E4B">
      <w:pPr>
        <w:rPr>
          <w:b/>
          <w:sz w:val="20"/>
          <w:szCs w:val="26"/>
        </w:rPr>
      </w:pPr>
      <w:r w:rsidRPr="009A27D9">
        <w:rPr>
          <w:b/>
          <w:sz w:val="20"/>
          <w:szCs w:val="26"/>
        </w:rPr>
        <w:t>Table 2</w:t>
      </w:r>
      <w:r w:rsidR="00515E4B" w:rsidRPr="009A27D9">
        <w:rPr>
          <w:b/>
          <w:sz w:val="20"/>
          <w:szCs w:val="26"/>
        </w:rPr>
        <w:t>.</w:t>
      </w:r>
      <w:r w:rsidR="009A27D9" w:rsidRPr="009A27D9">
        <w:rPr>
          <w:b/>
          <w:sz w:val="20"/>
          <w:szCs w:val="26"/>
        </w:rPr>
        <w:t xml:space="preserve"> List of sessions, and their goals, held at 2019 Annual Conference and Meeting.</w:t>
      </w:r>
    </w:p>
    <w:p w14:paraId="755423C2" w14:textId="162C0437" w:rsidR="00515E4B" w:rsidRDefault="00515E4B" w:rsidP="00515E4B">
      <w:pPr>
        <w:rPr>
          <w:szCs w:val="26"/>
        </w:rPr>
      </w:pPr>
      <w:r>
        <w:rPr>
          <w:szCs w:val="26"/>
        </w:rPr>
        <w:t xml:space="preserve">Attendees could choose </w:t>
      </w:r>
      <w:r w:rsidR="008E0B32">
        <w:rPr>
          <w:szCs w:val="26"/>
        </w:rPr>
        <w:t xml:space="preserve">which </w:t>
      </w:r>
      <w:r>
        <w:rPr>
          <w:szCs w:val="26"/>
        </w:rPr>
        <w:t>session</w:t>
      </w:r>
      <w:r w:rsidR="008A64F8">
        <w:rPr>
          <w:szCs w:val="26"/>
        </w:rPr>
        <w:t>s</w:t>
      </w:r>
      <w:r>
        <w:rPr>
          <w:szCs w:val="26"/>
        </w:rPr>
        <w:t xml:space="preserve"> they wanted to attend.</w:t>
      </w:r>
      <w:r w:rsidR="00C35D39">
        <w:rPr>
          <w:szCs w:val="26"/>
        </w:rPr>
        <w:t xml:space="preserve"> </w:t>
      </w:r>
      <w:r>
        <w:rPr>
          <w:szCs w:val="26"/>
        </w:rPr>
        <w:t>Selection of the produce safety and preventive controls workgroup meetings directly aligned with role type, unsur</w:t>
      </w:r>
      <w:r w:rsidR="009A27D9">
        <w:rPr>
          <w:szCs w:val="26"/>
        </w:rPr>
        <w:t xml:space="preserve">prisingly, since the </w:t>
      </w:r>
      <w:r>
        <w:rPr>
          <w:szCs w:val="26"/>
        </w:rPr>
        <w:lastRenderedPageBreak/>
        <w:t>regulatory audience at the Annual Conference and Meeting are those directly involved in state CAP</w:t>
      </w:r>
      <w:r w:rsidR="009A27D9">
        <w:rPr>
          <w:rStyle w:val="FootnoteReference"/>
          <w:szCs w:val="26"/>
        </w:rPr>
        <w:footnoteReference w:id="2"/>
      </w:r>
      <w:r>
        <w:rPr>
          <w:szCs w:val="26"/>
        </w:rPr>
        <w:t xml:space="preserve"> grants for implementation of produce safety.</w:t>
      </w:r>
      <w:r w:rsidR="00C35D39">
        <w:rPr>
          <w:szCs w:val="26"/>
        </w:rPr>
        <w:t xml:space="preserve"> </w:t>
      </w:r>
      <w:r>
        <w:rPr>
          <w:szCs w:val="26"/>
        </w:rPr>
        <w:t xml:space="preserve">However, the distribution of attendance in the buyer workgroup and educational approaches to delivery </w:t>
      </w:r>
      <w:r w:rsidR="008E0B32">
        <w:rPr>
          <w:szCs w:val="26"/>
        </w:rPr>
        <w:t xml:space="preserve">was </w:t>
      </w:r>
      <w:r>
        <w:rPr>
          <w:szCs w:val="26"/>
        </w:rPr>
        <w:t xml:space="preserve">nearly even, with </w:t>
      </w:r>
      <w:r w:rsidR="0016189C">
        <w:rPr>
          <w:szCs w:val="26"/>
        </w:rPr>
        <w:t>regulatory</w:t>
      </w:r>
      <w:r>
        <w:rPr>
          <w:szCs w:val="26"/>
        </w:rPr>
        <w:t xml:space="preserve"> </w:t>
      </w:r>
      <w:r w:rsidR="008E0B32">
        <w:rPr>
          <w:szCs w:val="26"/>
        </w:rPr>
        <w:t xml:space="preserve">attendees </w:t>
      </w:r>
      <w:r>
        <w:rPr>
          <w:szCs w:val="26"/>
        </w:rPr>
        <w:t>favoring the buyer meeting and educators favoring the educati</w:t>
      </w:r>
      <w:r w:rsidR="0016189C">
        <w:rPr>
          <w:szCs w:val="26"/>
        </w:rPr>
        <w:t>onal approaches meeting (</w:t>
      </w:r>
      <w:r w:rsidR="0016189C" w:rsidRPr="0016189C">
        <w:rPr>
          <w:b/>
          <w:szCs w:val="26"/>
        </w:rPr>
        <w:t>Table 3</w:t>
      </w:r>
      <w:r w:rsidRPr="0016189C">
        <w:rPr>
          <w:b/>
          <w:szCs w:val="26"/>
        </w:rPr>
        <w:t>.</w:t>
      </w:r>
      <w:r>
        <w:rPr>
          <w:szCs w:val="26"/>
        </w:rPr>
        <w:t xml:space="preserve">). </w:t>
      </w:r>
    </w:p>
    <w:p w14:paraId="7B6A1477" w14:textId="77777777" w:rsidR="000D0E54" w:rsidRDefault="000D0E54" w:rsidP="00515E4B">
      <w:pPr>
        <w:rPr>
          <w:szCs w:val="26"/>
        </w:rPr>
      </w:pPr>
    </w:p>
    <w:tbl>
      <w:tblPr>
        <w:tblW w:w="9360" w:type="dxa"/>
        <w:tblInd w:w="-5" w:type="dxa"/>
        <w:tblLook w:val="04A0" w:firstRow="1" w:lastRow="0" w:firstColumn="1" w:lastColumn="0" w:noHBand="0" w:noVBand="1"/>
      </w:tblPr>
      <w:tblGrid>
        <w:gridCol w:w="6980"/>
        <w:gridCol w:w="1120"/>
        <w:gridCol w:w="1260"/>
      </w:tblGrid>
      <w:tr w:rsidR="00515E4B" w:rsidRPr="00FA5EBE" w14:paraId="3FFE78B8" w14:textId="77777777" w:rsidTr="00C77B6D">
        <w:trPr>
          <w:trHeight w:val="264"/>
        </w:trPr>
        <w:tc>
          <w:tcPr>
            <w:tcW w:w="6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ECD2E5" w14:textId="77777777" w:rsidR="00515E4B" w:rsidRPr="00FA5EBE" w:rsidRDefault="00515E4B" w:rsidP="00C77B6D">
            <w:pPr>
              <w:spacing w:after="0" w:line="240" w:lineRule="auto"/>
              <w:rPr>
                <w:rFonts w:eastAsia="Times New Roman" w:cstheme="minorHAnsi"/>
                <w:b/>
                <w:bCs/>
              </w:rPr>
            </w:pPr>
            <w:r w:rsidRPr="00FA5EBE">
              <w:rPr>
                <w:rFonts w:eastAsia="Times New Roman" w:cstheme="minorHAnsi"/>
                <w:b/>
                <w:bCs/>
              </w:rPr>
              <w:t>Session Title</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13637A21" w14:textId="77777777" w:rsidR="00515E4B" w:rsidRPr="00FA5EBE" w:rsidRDefault="00515E4B" w:rsidP="00C77B6D">
            <w:pPr>
              <w:spacing w:after="0" w:line="240" w:lineRule="auto"/>
              <w:jc w:val="center"/>
              <w:rPr>
                <w:rFonts w:eastAsia="Times New Roman" w:cstheme="minorHAnsi"/>
                <w:b/>
                <w:bCs/>
              </w:rPr>
            </w:pPr>
            <w:r w:rsidRPr="00FA5EBE">
              <w:rPr>
                <w:rFonts w:eastAsia="Times New Roman" w:cstheme="minorHAnsi"/>
                <w:b/>
                <w:bCs/>
              </w:rPr>
              <w:t>Educator</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6A50FCC8" w14:textId="24E1A337" w:rsidR="00515E4B" w:rsidRPr="00FA5EBE" w:rsidRDefault="00515E4B" w:rsidP="00C77B6D">
            <w:pPr>
              <w:spacing w:after="0" w:line="240" w:lineRule="auto"/>
              <w:jc w:val="center"/>
              <w:rPr>
                <w:rFonts w:eastAsia="Times New Roman" w:cstheme="minorHAnsi"/>
                <w:b/>
                <w:bCs/>
              </w:rPr>
            </w:pPr>
            <w:r w:rsidRPr="00FA5EBE">
              <w:rPr>
                <w:rFonts w:eastAsia="Times New Roman" w:cstheme="minorHAnsi"/>
                <w:b/>
                <w:bCs/>
              </w:rPr>
              <w:t>Re</w:t>
            </w:r>
            <w:r>
              <w:rPr>
                <w:rFonts w:eastAsia="Times New Roman" w:cstheme="minorHAnsi"/>
                <w:b/>
                <w:bCs/>
              </w:rPr>
              <w:t>g</w:t>
            </w:r>
            <w:r w:rsidR="0016189C">
              <w:rPr>
                <w:rFonts w:eastAsia="Times New Roman" w:cstheme="minorHAnsi"/>
                <w:b/>
                <w:bCs/>
              </w:rPr>
              <w:t>ulator</w:t>
            </w:r>
          </w:p>
        </w:tc>
      </w:tr>
      <w:tr w:rsidR="00515E4B" w:rsidRPr="00FA5EBE" w14:paraId="3E4B0088" w14:textId="77777777" w:rsidTr="00C77B6D">
        <w:trPr>
          <w:trHeight w:val="288"/>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206A128C" w14:textId="77777777" w:rsidR="00515E4B" w:rsidRPr="00FA5EBE" w:rsidRDefault="00515E4B" w:rsidP="00C77B6D">
            <w:pPr>
              <w:spacing w:after="0" w:line="240" w:lineRule="auto"/>
              <w:rPr>
                <w:rFonts w:eastAsia="Times New Roman" w:cstheme="minorHAnsi"/>
              </w:rPr>
            </w:pPr>
            <w:r w:rsidRPr="00FA5EBE">
              <w:rPr>
                <w:rFonts w:eastAsia="Times New Roman" w:cstheme="minorHAnsi"/>
              </w:rPr>
              <w:t>Preventive Controls Workgroup Meeting</w:t>
            </w:r>
          </w:p>
        </w:tc>
        <w:tc>
          <w:tcPr>
            <w:tcW w:w="1120" w:type="dxa"/>
            <w:tcBorders>
              <w:top w:val="nil"/>
              <w:left w:val="nil"/>
              <w:bottom w:val="single" w:sz="4" w:space="0" w:color="auto"/>
              <w:right w:val="single" w:sz="4" w:space="0" w:color="auto"/>
            </w:tcBorders>
            <w:shd w:val="clear" w:color="auto" w:fill="auto"/>
            <w:noWrap/>
            <w:vAlign w:val="bottom"/>
            <w:hideMark/>
          </w:tcPr>
          <w:p w14:paraId="20564753" w14:textId="77777777" w:rsidR="00515E4B" w:rsidRPr="00FA5EBE" w:rsidRDefault="00515E4B" w:rsidP="00C77B6D">
            <w:pPr>
              <w:spacing w:after="0" w:line="240" w:lineRule="auto"/>
              <w:jc w:val="center"/>
              <w:rPr>
                <w:rFonts w:eastAsia="Times New Roman" w:cstheme="minorHAnsi"/>
              </w:rPr>
            </w:pPr>
            <w:r w:rsidRPr="00FA5EBE">
              <w:rPr>
                <w:rFonts w:eastAsia="Times New Roman" w:cstheme="minorHAnsi"/>
              </w:rPr>
              <w:t>20</w:t>
            </w:r>
          </w:p>
        </w:tc>
        <w:tc>
          <w:tcPr>
            <w:tcW w:w="1260" w:type="dxa"/>
            <w:tcBorders>
              <w:top w:val="nil"/>
              <w:left w:val="nil"/>
              <w:bottom w:val="single" w:sz="4" w:space="0" w:color="auto"/>
              <w:right w:val="single" w:sz="4" w:space="0" w:color="auto"/>
            </w:tcBorders>
            <w:shd w:val="clear" w:color="auto" w:fill="auto"/>
            <w:noWrap/>
            <w:vAlign w:val="bottom"/>
            <w:hideMark/>
          </w:tcPr>
          <w:p w14:paraId="28FAF30D" w14:textId="77777777" w:rsidR="00515E4B" w:rsidRPr="00FA5EBE" w:rsidRDefault="00515E4B" w:rsidP="00C77B6D">
            <w:pPr>
              <w:spacing w:after="0" w:line="240" w:lineRule="auto"/>
              <w:jc w:val="center"/>
              <w:rPr>
                <w:rFonts w:eastAsia="Times New Roman" w:cstheme="minorHAnsi"/>
              </w:rPr>
            </w:pPr>
            <w:r w:rsidRPr="00FA5EBE">
              <w:rPr>
                <w:rFonts w:eastAsia="Times New Roman" w:cstheme="minorHAnsi"/>
              </w:rPr>
              <w:t>1</w:t>
            </w:r>
          </w:p>
        </w:tc>
      </w:tr>
      <w:tr w:rsidR="00515E4B" w:rsidRPr="00FA5EBE" w14:paraId="56E88789" w14:textId="77777777" w:rsidTr="00C77B6D">
        <w:trPr>
          <w:trHeight w:val="288"/>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5E602DD5" w14:textId="77777777" w:rsidR="00515E4B" w:rsidRPr="00FA5EBE" w:rsidRDefault="00515E4B" w:rsidP="00C77B6D">
            <w:pPr>
              <w:spacing w:after="0" w:line="240" w:lineRule="auto"/>
              <w:rPr>
                <w:rFonts w:eastAsia="Times New Roman" w:cstheme="minorHAnsi"/>
              </w:rPr>
            </w:pPr>
            <w:r w:rsidRPr="00FA5EBE">
              <w:rPr>
                <w:rFonts w:eastAsia="Times New Roman" w:cstheme="minorHAnsi"/>
              </w:rPr>
              <w:t>Produce Safety Workgroup Meeting</w:t>
            </w:r>
          </w:p>
        </w:tc>
        <w:tc>
          <w:tcPr>
            <w:tcW w:w="1120" w:type="dxa"/>
            <w:tcBorders>
              <w:top w:val="nil"/>
              <w:left w:val="nil"/>
              <w:bottom w:val="single" w:sz="4" w:space="0" w:color="auto"/>
              <w:right w:val="single" w:sz="4" w:space="0" w:color="auto"/>
            </w:tcBorders>
            <w:shd w:val="clear" w:color="auto" w:fill="auto"/>
            <w:noWrap/>
            <w:vAlign w:val="bottom"/>
            <w:hideMark/>
          </w:tcPr>
          <w:p w14:paraId="2ACB28B6" w14:textId="77777777" w:rsidR="00515E4B" w:rsidRPr="00FA5EBE" w:rsidRDefault="00515E4B" w:rsidP="00C77B6D">
            <w:pPr>
              <w:spacing w:after="0" w:line="240" w:lineRule="auto"/>
              <w:jc w:val="center"/>
              <w:rPr>
                <w:rFonts w:eastAsia="Times New Roman" w:cstheme="minorHAnsi"/>
              </w:rPr>
            </w:pPr>
            <w:r w:rsidRPr="00FA5EBE">
              <w:rPr>
                <w:rFonts w:eastAsia="Times New Roman" w:cstheme="minorHAnsi"/>
              </w:rPr>
              <w:t>30</w:t>
            </w:r>
          </w:p>
        </w:tc>
        <w:tc>
          <w:tcPr>
            <w:tcW w:w="1260" w:type="dxa"/>
            <w:tcBorders>
              <w:top w:val="nil"/>
              <w:left w:val="nil"/>
              <w:bottom w:val="single" w:sz="4" w:space="0" w:color="auto"/>
              <w:right w:val="single" w:sz="4" w:space="0" w:color="auto"/>
            </w:tcBorders>
            <w:shd w:val="clear" w:color="auto" w:fill="auto"/>
            <w:noWrap/>
            <w:vAlign w:val="bottom"/>
            <w:hideMark/>
          </w:tcPr>
          <w:p w14:paraId="4EE589E9" w14:textId="77777777" w:rsidR="00515E4B" w:rsidRPr="00FA5EBE" w:rsidRDefault="00515E4B" w:rsidP="00C77B6D">
            <w:pPr>
              <w:spacing w:after="0" w:line="240" w:lineRule="auto"/>
              <w:jc w:val="center"/>
              <w:rPr>
                <w:rFonts w:eastAsia="Times New Roman" w:cstheme="minorHAnsi"/>
              </w:rPr>
            </w:pPr>
            <w:r w:rsidRPr="00FA5EBE">
              <w:rPr>
                <w:rFonts w:eastAsia="Times New Roman" w:cstheme="minorHAnsi"/>
              </w:rPr>
              <w:t>35</w:t>
            </w:r>
          </w:p>
        </w:tc>
      </w:tr>
      <w:tr w:rsidR="00515E4B" w:rsidRPr="00FA5EBE" w14:paraId="04A79158" w14:textId="77777777" w:rsidTr="00C77B6D">
        <w:trPr>
          <w:trHeight w:val="288"/>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31A46F15" w14:textId="77777777" w:rsidR="00515E4B" w:rsidRPr="00FA5EBE" w:rsidRDefault="00515E4B" w:rsidP="00C77B6D">
            <w:pPr>
              <w:spacing w:after="0" w:line="240" w:lineRule="auto"/>
              <w:rPr>
                <w:rFonts w:eastAsia="Times New Roman" w:cstheme="minorHAnsi"/>
              </w:rPr>
            </w:pPr>
            <w:r w:rsidRPr="00FA5EBE">
              <w:rPr>
                <w:rFonts w:eastAsia="Times New Roman" w:cstheme="minorHAnsi"/>
              </w:rPr>
              <w:t>Produce Safety Educators Workgroup Meeting</w:t>
            </w:r>
          </w:p>
        </w:tc>
        <w:tc>
          <w:tcPr>
            <w:tcW w:w="1120" w:type="dxa"/>
            <w:tcBorders>
              <w:top w:val="nil"/>
              <w:left w:val="nil"/>
              <w:bottom w:val="single" w:sz="4" w:space="0" w:color="auto"/>
              <w:right w:val="single" w:sz="4" w:space="0" w:color="auto"/>
            </w:tcBorders>
            <w:shd w:val="clear" w:color="auto" w:fill="auto"/>
            <w:noWrap/>
            <w:vAlign w:val="bottom"/>
            <w:hideMark/>
          </w:tcPr>
          <w:p w14:paraId="0C464A14" w14:textId="77777777" w:rsidR="00515E4B" w:rsidRPr="00FA5EBE" w:rsidRDefault="00515E4B" w:rsidP="00C77B6D">
            <w:pPr>
              <w:spacing w:after="0" w:line="240" w:lineRule="auto"/>
              <w:jc w:val="center"/>
              <w:rPr>
                <w:rFonts w:eastAsia="Times New Roman" w:cstheme="minorHAnsi"/>
              </w:rPr>
            </w:pPr>
            <w:r w:rsidRPr="00FA5EBE">
              <w:rPr>
                <w:rFonts w:eastAsia="Times New Roman" w:cstheme="minorHAnsi"/>
              </w:rPr>
              <w:t>30</w:t>
            </w:r>
          </w:p>
        </w:tc>
        <w:tc>
          <w:tcPr>
            <w:tcW w:w="1260" w:type="dxa"/>
            <w:tcBorders>
              <w:top w:val="nil"/>
              <w:left w:val="nil"/>
              <w:bottom w:val="single" w:sz="4" w:space="0" w:color="auto"/>
              <w:right w:val="single" w:sz="4" w:space="0" w:color="auto"/>
            </w:tcBorders>
            <w:shd w:val="clear" w:color="auto" w:fill="auto"/>
            <w:noWrap/>
            <w:vAlign w:val="bottom"/>
            <w:hideMark/>
          </w:tcPr>
          <w:p w14:paraId="7F94A5BF" w14:textId="77777777" w:rsidR="00515E4B" w:rsidRPr="00FA5EBE" w:rsidRDefault="00515E4B" w:rsidP="00C77B6D">
            <w:pPr>
              <w:spacing w:after="0" w:line="240" w:lineRule="auto"/>
              <w:jc w:val="center"/>
              <w:rPr>
                <w:rFonts w:eastAsia="Times New Roman" w:cstheme="minorHAnsi"/>
              </w:rPr>
            </w:pPr>
            <w:r w:rsidRPr="00FA5EBE">
              <w:rPr>
                <w:rFonts w:eastAsia="Times New Roman" w:cstheme="minorHAnsi"/>
              </w:rPr>
              <w:t>-</w:t>
            </w:r>
          </w:p>
        </w:tc>
      </w:tr>
      <w:tr w:rsidR="00515E4B" w:rsidRPr="00FA5EBE" w14:paraId="2442D4DF" w14:textId="77777777" w:rsidTr="00C77B6D">
        <w:trPr>
          <w:trHeight w:val="288"/>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2B7F8150" w14:textId="77777777" w:rsidR="00515E4B" w:rsidRPr="00FA5EBE" w:rsidRDefault="00515E4B" w:rsidP="00C77B6D">
            <w:pPr>
              <w:spacing w:after="0" w:line="240" w:lineRule="auto"/>
              <w:rPr>
                <w:rFonts w:eastAsia="Times New Roman" w:cstheme="minorHAnsi"/>
              </w:rPr>
            </w:pPr>
            <w:r w:rsidRPr="00FA5EBE">
              <w:rPr>
                <w:rFonts w:eastAsia="Times New Roman" w:cstheme="minorHAnsi"/>
              </w:rPr>
              <w:t>Produce Safety Regulators Workgroup Meeting</w:t>
            </w:r>
          </w:p>
        </w:tc>
        <w:tc>
          <w:tcPr>
            <w:tcW w:w="1120" w:type="dxa"/>
            <w:tcBorders>
              <w:top w:val="nil"/>
              <w:left w:val="nil"/>
              <w:bottom w:val="single" w:sz="4" w:space="0" w:color="auto"/>
              <w:right w:val="single" w:sz="4" w:space="0" w:color="auto"/>
            </w:tcBorders>
            <w:shd w:val="clear" w:color="auto" w:fill="auto"/>
            <w:noWrap/>
            <w:vAlign w:val="bottom"/>
            <w:hideMark/>
          </w:tcPr>
          <w:p w14:paraId="55909135" w14:textId="77777777" w:rsidR="00515E4B" w:rsidRPr="00FA5EBE" w:rsidRDefault="00515E4B" w:rsidP="00C77B6D">
            <w:pPr>
              <w:spacing w:after="0" w:line="240" w:lineRule="auto"/>
              <w:jc w:val="center"/>
              <w:rPr>
                <w:rFonts w:eastAsia="Times New Roman" w:cstheme="minorHAnsi"/>
              </w:rPr>
            </w:pPr>
            <w:r w:rsidRPr="00FA5EBE">
              <w:rPr>
                <w:rFonts w:eastAsia="Times New Roman" w:cstheme="minorHAnsi"/>
              </w:rPr>
              <w:t>-</w:t>
            </w:r>
          </w:p>
        </w:tc>
        <w:tc>
          <w:tcPr>
            <w:tcW w:w="1260" w:type="dxa"/>
            <w:tcBorders>
              <w:top w:val="nil"/>
              <w:left w:val="nil"/>
              <w:bottom w:val="single" w:sz="4" w:space="0" w:color="auto"/>
              <w:right w:val="single" w:sz="4" w:space="0" w:color="auto"/>
            </w:tcBorders>
            <w:shd w:val="clear" w:color="auto" w:fill="auto"/>
            <w:noWrap/>
            <w:vAlign w:val="bottom"/>
            <w:hideMark/>
          </w:tcPr>
          <w:p w14:paraId="261F9278" w14:textId="77777777" w:rsidR="00515E4B" w:rsidRPr="00FA5EBE" w:rsidRDefault="00515E4B" w:rsidP="00C77B6D">
            <w:pPr>
              <w:spacing w:after="0" w:line="240" w:lineRule="auto"/>
              <w:jc w:val="center"/>
              <w:rPr>
                <w:rFonts w:eastAsia="Times New Roman" w:cstheme="minorHAnsi"/>
              </w:rPr>
            </w:pPr>
            <w:r w:rsidRPr="00FA5EBE">
              <w:rPr>
                <w:rFonts w:eastAsia="Times New Roman" w:cstheme="minorHAnsi"/>
              </w:rPr>
              <w:t>35</w:t>
            </w:r>
          </w:p>
        </w:tc>
      </w:tr>
      <w:tr w:rsidR="00515E4B" w:rsidRPr="00FA5EBE" w14:paraId="099BC24B" w14:textId="77777777" w:rsidTr="00C77B6D">
        <w:trPr>
          <w:trHeight w:val="288"/>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32ED293B" w14:textId="77777777" w:rsidR="00515E4B" w:rsidRPr="00FA5EBE" w:rsidRDefault="00515E4B" w:rsidP="00C77B6D">
            <w:pPr>
              <w:spacing w:after="0" w:line="240" w:lineRule="auto"/>
              <w:rPr>
                <w:rFonts w:eastAsia="Times New Roman" w:cstheme="minorHAnsi"/>
              </w:rPr>
            </w:pPr>
            <w:r w:rsidRPr="00FA5EBE">
              <w:rPr>
                <w:rFonts w:eastAsia="Times New Roman" w:cstheme="minorHAnsi"/>
              </w:rPr>
              <w:t>Buyer Workgroup Meeting</w:t>
            </w:r>
          </w:p>
        </w:tc>
        <w:tc>
          <w:tcPr>
            <w:tcW w:w="1120" w:type="dxa"/>
            <w:tcBorders>
              <w:top w:val="nil"/>
              <w:left w:val="nil"/>
              <w:bottom w:val="single" w:sz="4" w:space="0" w:color="auto"/>
              <w:right w:val="single" w:sz="4" w:space="0" w:color="auto"/>
            </w:tcBorders>
            <w:shd w:val="clear" w:color="auto" w:fill="auto"/>
            <w:noWrap/>
            <w:vAlign w:val="bottom"/>
            <w:hideMark/>
          </w:tcPr>
          <w:p w14:paraId="4F539B71" w14:textId="77777777" w:rsidR="00515E4B" w:rsidRPr="00FA5EBE" w:rsidRDefault="00515E4B" w:rsidP="00C77B6D">
            <w:pPr>
              <w:spacing w:after="0" w:line="240" w:lineRule="auto"/>
              <w:jc w:val="center"/>
              <w:rPr>
                <w:rFonts w:eastAsia="Times New Roman" w:cstheme="minorHAnsi"/>
              </w:rPr>
            </w:pPr>
            <w:r w:rsidRPr="00FA5EBE">
              <w:rPr>
                <w:rFonts w:eastAsia="Times New Roman" w:cstheme="minorHAnsi"/>
              </w:rPr>
              <w:t>9</w:t>
            </w:r>
          </w:p>
        </w:tc>
        <w:tc>
          <w:tcPr>
            <w:tcW w:w="1260" w:type="dxa"/>
            <w:tcBorders>
              <w:top w:val="nil"/>
              <w:left w:val="nil"/>
              <w:bottom w:val="single" w:sz="4" w:space="0" w:color="auto"/>
              <w:right w:val="single" w:sz="4" w:space="0" w:color="auto"/>
            </w:tcBorders>
            <w:shd w:val="clear" w:color="auto" w:fill="auto"/>
            <w:noWrap/>
            <w:vAlign w:val="bottom"/>
            <w:hideMark/>
          </w:tcPr>
          <w:p w14:paraId="557F242D" w14:textId="77777777" w:rsidR="00515E4B" w:rsidRPr="00FA5EBE" w:rsidRDefault="00515E4B" w:rsidP="00C77B6D">
            <w:pPr>
              <w:spacing w:after="0" w:line="240" w:lineRule="auto"/>
              <w:jc w:val="center"/>
              <w:rPr>
                <w:rFonts w:eastAsia="Times New Roman" w:cstheme="minorHAnsi"/>
              </w:rPr>
            </w:pPr>
            <w:r w:rsidRPr="00FA5EBE">
              <w:rPr>
                <w:rFonts w:eastAsia="Times New Roman" w:cstheme="minorHAnsi"/>
              </w:rPr>
              <w:t>15</w:t>
            </w:r>
          </w:p>
        </w:tc>
      </w:tr>
      <w:tr w:rsidR="00515E4B" w:rsidRPr="00FA5EBE" w14:paraId="5C0B5FBD" w14:textId="77777777" w:rsidTr="00C77B6D">
        <w:trPr>
          <w:trHeight w:val="288"/>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377978F6" w14:textId="77777777" w:rsidR="00515E4B" w:rsidRPr="00FA5EBE" w:rsidRDefault="00515E4B" w:rsidP="00C77B6D">
            <w:pPr>
              <w:spacing w:after="0" w:line="240" w:lineRule="auto"/>
              <w:rPr>
                <w:rFonts w:eastAsia="Times New Roman" w:cstheme="minorHAnsi"/>
              </w:rPr>
            </w:pPr>
            <w:r w:rsidRPr="00FA5EBE">
              <w:rPr>
                <w:rFonts w:eastAsia="Times New Roman" w:cstheme="minorHAnsi"/>
              </w:rPr>
              <w:t>Educational Approaches to Training Delivery</w:t>
            </w:r>
          </w:p>
        </w:tc>
        <w:tc>
          <w:tcPr>
            <w:tcW w:w="1120" w:type="dxa"/>
            <w:tcBorders>
              <w:top w:val="nil"/>
              <w:left w:val="nil"/>
              <w:bottom w:val="single" w:sz="4" w:space="0" w:color="auto"/>
              <w:right w:val="single" w:sz="4" w:space="0" w:color="auto"/>
            </w:tcBorders>
            <w:shd w:val="clear" w:color="auto" w:fill="auto"/>
            <w:noWrap/>
            <w:vAlign w:val="bottom"/>
            <w:hideMark/>
          </w:tcPr>
          <w:p w14:paraId="4A22344F" w14:textId="77777777" w:rsidR="00515E4B" w:rsidRPr="00FA5EBE" w:rsidRDefault="00515E4B" w:rsidP="00C77B6D">
            <w:pPr>
              <w:spacing w:after="0" w:line="240" w:lineRule="auto"/>
              <w:jc w:val="center"/>
              <w:rPr>
                <w:rFonts w:eastAsia="Times New Roman" w:cstheme="minorHAnsi"/>
              </w:rPr>
            </w:pPr>
            <w:r w:rsidRPr="00FA5EBE">
              <w:rPr>
                <w:rFonts w:eastAsia="Times New Roman" w:cstheme="minorHAnsi"/>
              </w:rPr>
              <w:t>20</w:t>
            </w:r>
          </w:p>
        </w:tc>
        <w:tc>
          <w:tcPr>
            <w:tcW w:w="1260" w:type="dxa"/>
            <w:tcBorders>
              <w:top w:val="nil"/>
              <w:left w:val="nil"/>
              <w:bottom w:val="single" w:sz="4" w:space="0" w:color="auto"/>
              <w:right w:val="single" w:sz="4" w:space="0" w:color="auto"/>
            </w:tcBorders>
            <w:shd w:val="clear" w:color="auto" w:fill="auto"/>
            <w:noWrap/>
            <w:vAlign w:val="bottom"/>
            <w:hideMark/>
          </w:tcPr>
          <w:p w14:paraId="1D3D845B" w14:textId="77777777" w:rsidR="00515E4B" w:rsidRPr="00FA5EBE" w:rsidRDefault="00515E4B" w:rsidP="00C77B6D">
            <w:pPr>
              <w:spacing w:after="0" w:line="240" w:lineRule="auto"/>
              <w:jc w:val="center"/>
              <w:rPr>
                <w:rFonts w:eastAsia="Times New Roman" w:cstheme="minorHAnsi"/>
              </w:rPr>
            </w:pPr>
            <w:r w:rsidRPr="00FA5EBE">
              <w:rPr>
                <w:rFonts w:eastAsia="Times New Roman" w:cstheme="minorHAnsi"/>
              </w:rPr>
              <w:t>17</w:t>
            </w:r>
          </w:p>
        </w:tc>
      </w:tr>
    </w:tbl>
    <w:p w14:paraId="3B64B6D8" w14:textId="09765CF4" w:rsidR="00515E4B" w:rsidRPr="0016189C" w:rsidRDefault="0016189C" w:rsidP="00515E4B">
      <w:pPr>
        <w:rPr>
          <w:b/>
          <w:szCs w:val="26"/>
        </w:rPr>
      </w:pPr>
      <w:r w:rsidRPr="0016189C">
        <w:rPr>
          <w:b/>
          <w:sz w:val="20"/>
          <w:szCs w:val="26"/>
        </w:rPr>
        <w:t>Table 3</w:t>
      </w:r>
      <w:r w:rsidR="00515E4B" w:rsidRPr="0016189C">
        <w:rPr>
          <w:b/>
          <w:sz w:val="20"/>
          <w:szCs w:val="26"/>
        </w:rPr>
        <w:t>.</w:t>
      </w:r>
      <w:r w:rsidR="001A6C24">
        <w:rPr>
          <w:b/>
          <w:sz w:val="20"/>
          <w:szCs w:val="26"/>
        </w:rPr>
        <w:t xml:space="preserve"> Registration for Session by Educator and Regulator R</w:t>
      </w:r>
      <w:r w:rsidRPr="0016189C">
        <w:rPr>
          <w:b/>
          <w:sz w:val="20"/>
          <w:szCs w:val="26"/>
        </w:rPr>
        <w:t>oles.</w:t>
      </w:r>
      <w:r w:rsidR="00515E4B" w:rsidRPr="0016189C">
        <w:rPr>
          <w:b/>
          <w:szCs w:val="26"/>
        </w:rPr>
        <w:t xml:space="preserve"> </w:t>
      </w:r>
    </w:p>
    <w:p w14:paraId="21C74680" w14:textId="77777777" w:rsidR="00515E4B" w:rsidRPr="00180D22" w:rsidRDefault="00515E4B" w:rsidP="00515E4B">
      <w:pPr>
        <w:rPr>
          <w:i/>
          <w:sz w:val="26"/>
          <w:szCs w:val="26"/>
        </w:rPr>
      </w:pPr>
      <w:r>
        <w:rPr>
          <w:i/>
          <w:sz w:val="26"/>
          <w:szCs w:val="26"/>
        </w:rPr>
        <w:t>Did you learn something new?</w:t>
      </w:r>
    </w:p>
    <w:p w14:paraId="30A9A792" w14:textId="77777777" w:rsidR="008A64F8" w:rsidRDefault="00515E4B" w:rsidP="00515E4B">
      <w:pPr>
        <w:rPr>
          <w:szCs w:val="32"/>
        </w:rPr>
      </w:pPr>
      <w:r>
        <w:t>When asked</w:t>
      </w:r>
      <w:r w:rsidR="008E0B32">
        <w:t>,</w:t>
      </w:r>
      <w:r>
        <w:t xml:space="preserve"> “Did you learn something new?” 66 (97%) respondents answered “Yes.”</w:t>
      </w:r>
      <w:r w:rsidR="00C35D39">
        <w:t xml:space="preserve"> </w:t>
      </w:r>
      <w:r>
        <w:rPr>
          <w:szCs w:val="32"/>
        </w:rPr>
        <w:t>Answers to the follow-up evaluation question “If so, what did you learn?” resulted in broad themes among attendees, most notably: greater unders</w:t>
      </w:r>
      <w:r w:rsidR="003F1E86">
        <w:rPr>
          <w:szCs w:val="32"/>
        </w:rPr>
        <w:t>tanding of educational efforts</w:t>
      </w:r>
      <w:r>
        <w:rPr>
          <w:szCs w:val="32"/>
        </w:rPr>
        <w:t>.</w:t>
      </w:r>
      <w:r w:rsidR="00C35D39">
        <w:rPr>
          <w:szCs w:val="32"/>
        </w:rPr>
        <w:t xml:space="preserve"> </w:t>
      </w:r>
      <w:r w:rsidR="008E0B32">
        <w:rPr>
          <w:szCs w:val="32"/>
        </w:rPr>
        <w:t>Other</w:t>
      </w:r>
      <w:r>
        <w:rPr>
          <w:szCs w:val="32"/>
        </w:rPr>
        <w:t xml:space="preserve"> </w:t>
      </w:r>
      <w:r w:rsidR="008E0B32">
        <w:rPr>
          <w:szCs w:val="32"/>
        </w:rPr>
        <w:t xml:space="preserve">oft-cited </w:t>
      </w:r>
      <w:r>
        <w:rPr>
          <w:szCs w:val="32"/>
        </w:rPr>
        <w:t>themes included</w:t>
      </w:r>
      <w:r w:rsidR="008A64F8">
        <w:rPr>
          <w:szCs w:val="32"/>
        </w:rPr>
        <w:t>:</w:t>
      </w:r>
      <w:r>
        <w:rPr>
          <w:szCs w:val="32"/>
        </w:rPr>
        <w:t xml:space="preserve"> </w:t>
      </w:r>
    </w:p>
    <w:p w14:paraId="325C23B1" w14:textId="77777777" w:rsidR="008A64F8" w:rsidRDefault="00515E4B" w:rsidP="008A64F8">
      <w:pPr>
        <w:pStyle w:val="ListParagraph"/>
        <w:numPr>
          <w:ilvl w:val="0"/>
          <w:numId w:val="1"/>
        </w:numPr>
        <w:rPr>
          <w:szCs w:val="32"/>
        </w:rPr>
      </w:pPr>
      <w:r w:rsidRPr="008A64F8">
        <w:rPr>
          <w:szCs w:val="32"/>
        </w:rPr>
        <w:t>variation between states</w:t>
      </w:r>
      <w:r w:rsidR="003F1E86" w:rsidRPr="008A64F8">
        <w:rPr>
          <w:szCs w:val="32"/>
        </w:rPr>
        <w:t xml:space="preserve"> in implementation of FSMA</w:t>
      </w:r>
      <w:r w:rsidRPr="008A64F8">
        <w:rPr>
          <w:szCs w:val="32"/>
        </w:rPr>
        <w:t xml:space="preserve">, </w:t>
      </w:r>
      <w:r w:rsidR="001A6C24" w:rsidRPr="008A64F8">
        <w:rPr>
          <w:szCs w:val="32"/>
        </w:rPr>
        <w:t>and</w:t>
      </w:r>
      <w:r w:rsidRPr="008A64F8">
        <w:rPr>
          <w:szCs w:val="32"/>
        </w:rPr>
        <w:t xml:space="preserve"> </w:t>
      </w:r>
    </w:p>
    <w:p w14:paraId="55923A2A" w14:textId="77777777" w:rsidR="008A64F8" w:rsidRDefault="00515E4B" w:rsidP="008A64F8">
      <w:pPr>
        <w:pStyle w:val="ListParagraph"/>
        <w:numPr>
          <w:ilvl w:val="0"/>
          <w:numId w:val="1"/>
        </w:numPr>
        <w:rPr>
          <w:szCs w:val="32"/>
        </w:rPr>
      </w:pPr>
      <w:r w:rsidRPr="008A64F8">
        <w:rPr>
          <w:szCs w:val="32"/>
        </w:rPr>
        <w:t>individual needs of grow</w:t>
      </w:r>
      <w:r w:rsidR="003F1E86" w:rsidRPr="008A64F8">
        <w:rPr>
          <w:szCs w:val="32"/>
        </w:rPr>
        <w:t>ers, buyers and processors</w:t>
      </w:r>
      <w:r w:rsidRPr="008A64F8">
        <w:rPr>
          <w:szCs w:val="32"/>
        </w:rPr>
        <w:t>.</w:t>
      </w:r>
      <w:r w:rsidR="00C35D39" w:rsidRPr="008A64F8">
        <w:rPr>
          <w:szCs w:val="32"/>
        </w:rPr>
        <w:t xml:space="preserve"> </w:t>
      </w:r>
    </w:p>
    <w:p w14:paraId="4CA48F6A" w14:textId="7D89CB8C" w:rsidR="000D0E54" w:rsidRPr="008A64F8" w:rsidRDefault="008E0B32" w:rsidP="008A64F8">
      <w:pPr>
        <w:rPr>
          <w:szCs w:val="32"/>
        </w:rPr>
      </w:pPr>
      <w:r w:rsidRPr="008A64F8">
        <w:rPr>
          <w:szCs w:val="32"/>
        </w:rPr>
        <w:t>S</w:t>
      </w:r>
      <w:r w:rsidR="00515E4B" w:rsidRPr="008A64F8">
        <w:rPr>
          <w:szCs w:val="32"/>
        </w:rPr>
        <w:t xml:space="preserve">ignificantly less common themes also emerged, including: </w:t>
      </w:r>
    </w:p>
    <w:p w14:paraId="4B97540F" w14:textId="77777777" w:rsidR="000D0E54" w:rsidRDefault="00515E4B" w:rsidP="000D0E54">
      <w:pPr>
        <w:pStyle w:val="ListParagraph"/>
        <w:numPr>
          <w:ilvl w:val="0"/>
          <w:numId w:val="1"/>
        </w:numPr>
        <w:rPr>
          <w:szCs w:val="32"/>
        </w:rPr>
      </w:pPr>
      <w:r w:rsidRPr="000D0E54">
        <w:rPr>
          <w:szCs w:val="32"/>
        </w:rPr>
        <w:t xml:space="preserve">a better understanding of FSMA, </w:t>
      </w:r>
    </w:p>
    <w:p w14:paraId="74213980" w14:textId="77777777" w:rsidR="000D0E54" w:rsidRDefault="00515E4B" w:rsidP="000D0E54">
      <w:pPr>
        <w:pStyle w:val="ListParagraph"/>
        <w:numPr>
          <w:ilvl w:val="0"/>
          <w:numId w:val="1"/>
        </w:numPr>
        <w:rPr>
          <w:szCs w:val="32"/>
        </w:rPr>
      </w:pPr>
      <w:r w:rsidRPr="000D0E54">
        <w:rPr>
          <w:szCs w:val="32"/>
        </w:rPr>
        <w:t xml:space="preserve">different views from stakeholder partners, </w:t>
      </w:r>
    </w:p>
    <w:p w14:paraId="516660BA" w14:textId="77777777" w:rsidR="000D0E54" w:rsidRDefault="00515E4B" w:rsidP="000D0E54">
      <w:pPr>
        <w:pStyle w:val="ListParagraph"/>
        <w:numPr>
          <w:ilvl w:val="0"/>
          <w:numId w:val="1"/>
        </w:numPr>
        <w:rPr>
          <w:szCs w:val="32"/>
        </w:rPr>
      </w:pPr>
      <w:r w:rsidRPr="000D0E54">
        <w:rPr>
          <w:szCs w:val="32"/>
        </w:rPr>
        <w:t xml:space="preserve">the differences between audits versus inspections, </w:t>
      </w:r>
    </w:p>
    <w:p w14:paraId="4ECCD6DE" w14:textId="77777777" w:rsidR="000D0E54" w:rsidRDefault="00515E4B" w:rsidP="000D0E54">
      <w:pPr>
        <w:pStyle w:val="ListParagraph"/>
        <w:numPr>
          <w:ilvl w:val="0"/>
          <w:numId w:val="1"/>
        </w:numPr>
        <w:rPr>
          <w:szCs w:val="32"/>
        </w:rPr>
      </w:pPr>
      <w:r w:rsidRPr="000D0E54">
        <w:rPr>
          <w:szCs w:val="32"/>
        </w:rPr>
        <w:t xml:space="preserve">different avenues to receive financial support, and </w:t>
      </w:r>
    </w:p>
    <w:p w14:paraId="51D792D6" w14:textId="77777777" w:rsidR="000D0E54" w:rsidRDefault="00515E4B" w:rsidP="000D0E54">
      <w:pPr>
        <w:pStyle w:val="ListParagraph"/>
        <w:numPr>
          <w:ilvl w:val="0"/>
          <w:numId w:val="1"/>
        </w:numPr>
        <w:rPr>
          <w:szCs w:val="32"/>
        </w:rPr>
      </w:pPr>
      <w:r w:rsidRPr="000D0E54">
        <w:rPr>
          <w:szCs w:val="32"/>
        </w:rPr>
        <w:t>similar challenges shared with colleagues.</w:t>
      </w:r>
      <w:r w:rsidR="00C35D39" w:rsidRPr="000D0E54">
        <w:rPr>
          <w:szCs w:val="32"/>
        </w:rPr>
        <w:t xml:space="preserve"> </w:t>
      </w:r>
    </w:p>
    <w:p w14:paraId="74E861A8" w14:textId="7E27A450" w:rsidR="00515E4B" w:rsidRPr="000D0E54" w:rsidRDefault="00CA6485" w:rsidP="000D0E54">
      <w:pPr>
        <w:rPr>
          <w:szCs w:val="32"/>
        </w:rPr>
      </w:pPr>
      <w:r w:rsidRPr="000D0E54">
        <w:rPr>
          <w:szCs w:val="32"/>
        </w:rPr>
        <w:t xml:space="preserve">Many attendees </w:t>
      </w:r>
      <w:r w:rsidR="00515E4B" w:rsidRPr="000D0E54">
        <w:rPr>
          <w:szCs w:val="32"/>
        </w:rPr>
        <w:t xml:space="preserve">included multiple responses that corresponded with several themes, </w:t>
      </w:r>
      <w:r w:rsidR="008E0B32" w:rsidRPr="000D0E54">
        <w:rPr>
          <w:szCs w:val="32"/>
        </w:rPr>
        <w:t xml:space="preserve">indicating </w:t>
      </w:r>
      <w:r w:rsidR="00515E4B" w:rsidRPr="000D0E54">
        <w:rPr>
          <w:szCs w:val="32"/>
        </w:rPr>
        <w:t>that they learned more than one thing from attending the Annual Conference and Meeting.</w:t>
      </w:r>
      <w:r w:rsidR="00C35D39" w:rsidRPr="000D0E54">
        <w:rPr>
          <w:szCs w:val="32"/>
        </w:rPr>
        <w:t xml:space="preserve"> </w:t>
      </w:r>
    </w:p>
    <w:p w14:paraId="4156FCA6" w14:textId="50174C59" w:rsidR="008A60DB" w:rsidRDefault="00E50D30" w:rsidP="00515E4B">
      <w:pPr>
        <w:rPr>
          <w:szCs w:val="32"/>
        </w:rPr>
      </w:pPr>
      <w:r>
        <w:rPr>
          <w:szCs w:val="32"/>
        </w:rPr>
        <w:t>First, respondents</w:t>
      </w:r>
      <w:r w:rsidR="007D4F92">
        <w:rPr>
          <w:szCs w:val="32"/>
        </w:rPr>
        <w:t xml:space="preserve"> generally</w:t>
      </w:r>
      <w:r>
        <w:rPr>
          <w:szCs w:val="32"/>
        </w:rPr>
        <w:t xml:space="preserve"> described learning about several educational efforts underway on the regional and national level</w:t>
      </w:r>
      <w:r w:rsidR="007D4F92">
        <w:rPr>
          <w:szCs w:val="32"/>
        </w:rPr>
        <w:t>s.</w:t>
      </w:r>
      <w:r w:rsidR="00C35D39">
        <w:rPr>
          <w:szCs w:val="32"/>
        </w:rPr>
        <w:t xml:space="preserve"> </w:t>
      </w:r>
      <w:r w:rsidR="007D4F92">
        <w:rPr>
          <w:szCs w:val="32"/>
        </w:rPr>
        <w:t>Specifically, several attendees articulated new knowledge of training delivery technics to achieve greater attendance, engagement, and learning of growers and processors.</w:t>
      </w:r>
      <w:r w:rsidR="00C35D39">
        <w:rPr>
          <w:szCs w:val="32"/>
        </w:rPr>
        <w:t xml:space="preserve"> </w:t>
      </w:r>
      <w:r w:rsidR="007D4F92">
        <w:rPr>
          <w:szCs w:val="32"/>
        </w:rPr>
        <w:t xml:space="preserve">Additionally, many respondents described that they learned about </w:t>
      </w:r>
      <w:r w:rsidR="00784587">
        <w:rPr>
          <w:szCs w:val="32"/>
        </w:rPr>
        <w:t xml:space="preserve">expertise across the region and </w:t>
      </w:r>
      <w:r w:rsidR="007D4F92">
        <w:rPr>
          <w:szCs w:val="32"/>
        </w:rPr>
        <w:t xml:space="preserve">individual projects, such as Food Safety Outreach projects during the poster session, educational efforts described in the general session presentations and details outlined in updates from federal partners. </w:t>
      </w:r>
    </w:p>
    <w:p w14:paraId="6EBF7230" w14:textId="3BC05135" w:rsidR="00E50D30" w:rsidRDefault="008A60DB" w:rsidP="00515E4B">
      <w:pPr>
        <w:rPr>
          <w:szCs w:val="32"/>
        </w:rPr>
      </w:pPr>
      <w:r>
        <w:rPr>
          <w:szCs w:val="32"/>
        </w:rPr>
        <w:t xml:space="preserve">Second, responses </w:t>
      </w:r>
      <w:r w:rsidR="005D3234">
        <w:rPr>
          <w:szCs w:val="32"/>
        </w:rPr>
        <w:t xml:space="preserve">explained that </w:t>
      </w:r>
      <w:r w:rsidR="00784587">
        <w:rPr>
          <w:szCs w:val="32"/>
        </w:rPr>
        <w:t xml:space="preserve">there is a range in understanding the variation in </w:t>
      </w:r>
      <w:r w:rsidR="00677BF4">
        <w:rPr>
          <w:szCs w:val="32"/>
        </w:rPr>
        <w:t xml:space="preserve">states’ </w:t>
      </w:r>
      <w:r w:rsidR="00784587">
        <w:rPr>
          <w:szCs w:val="32"/>
        </w:rPr>
        <w:t>implementation of FSMA.</w:t>
      </w:r>
      <w:r w:rsidR="00C35D39">
        <w:rPr>
          <w:szCs w:val="32"/>
        </w:rPr>
        <w:t xml:space="preserve"> </w:t>
      </w:r>
      <w:r w:rsidR="00784587">
        <w:rPr>
          <w:szCs w:val="32"/>
        </w:rPr>
        <w:t>Some r</w:t>
      </w:r>
      <w:r w:rsidR="005D3234">
        <w:rPr>
          <w:szCs w:val="32"/>
        </w:rPr>
        <w:t>esponses indicate that</w:t>
      </w:r>
      <w:r w:rsidR="00784587">
        <w:rPr>
          <w:szCs w:val="32"/>
        </w:rPr>
        <w:t xml:space="preserve"> a few</w:t>
      </w:r>
      <w:r w:rsidR="005D3234">
        <w:rPr>
          <w:szCs w:val="32"/>
        </w:rPr>
        <w:t xml:space="preserve"> attendees</w:t>
      </w:r>
      <w:r w:rsidR="00784587">
        <w:rPr>
          <w:szCs w:val="32"/>
        </w:rPr>
        <w:t xml:space="preserve"> were </w:t>
      </w:r>
      <w:r w:rsidR="005D3234">
        <w:rPr>
          <w:szCs w:val="32"/>
        </w:rPr>
        <w:t>learn</w:t>
      </w:r>
      <w:r w:rsidR="00784587">
        <w:rPr>
          <w:szCs w:val="32"/>
        </w:rPr>
        <w:t>ing</w:t>
      </w:r>
      <w:r w:rsidR="00677BF4">
        <w:rPr>
          <w:szCs w:val="32"/>
        </w:rPr>
        <w:t xml:space="preserve"> for the first time</w:t>
      </w:r>
      <w:r w:rsidR="005D3234">
        <w:rPr>
          <w:szCs w:val="32"/>
        </w:rPr>
        <w:t xml:space="preserve"> that each state’s approach is unique</w:t>
      </w:r>
      <w:r w:rsidR="00677BF4">
        <w:rPr>
          <w:szCs w:val="32"/>
        </w:rPr>
        <w:t>,</w:t>
      </w:r>
      <w:r w:rsidR="005D3234">
        <w:rPr>
          <w:szCs w:val="32"/>
        </w:rPr>
        <w:t xml:space="preserve"> while other responses indicate previous knowledge of this </w:t>
      </w:r>
      <w:r w:rsidR="005D3234">
        <w:rPr>
          <w:szCs w:val="32"/>
        </w:rPr>
        <w:lastRenderedPageBreak/>
        <w:t xml:space="preserve">uniqueness and </w:t>
      </w:r>
      <w:r w:rsidR="00784587">
        <w:rPr>
          <w:szCs w:val="32"/>
        </w:rPr>
        <w:t>the respondent’s</w:t>
      </w:r>
      <w:r w:rsidR="005D3234">
        <w:rPr>
          <w:szCs w:val="32"/>
        </w:rPr>
        <w:t xml:space="preserve"> new knowledge </w:t>
      </w:r>
      <w:r w:rsidR="00784587">
        <w:rPr>
          <w:szCs w:val="32"/>
        </w:rPr>
        <w:t xml:space="preserve">was </w:t>
      </w:r>
      <w:r w:rsidR="005D3234">
        <w:rPr>
          <w:szCs w:val="32"/>
        </w:rPr>
        <w:t xml:space="preserve">of specifics regarding state’s implementation plans. </w:t>
      </w:r>
    </w:p>
    <w:p w14:paraId="2EE4C932" w14:textId="28D8C3F1" w:rsidR="00784587" w:rsidRPr="00784587" w:rsidRDefault="00784587" w:rsidP="00515E4B">
      <w:pPr>
        <w:rPr>
          <w:i/>
          <w:sz w:val="26"/>
          <w:szCs w:val="26"/>
        </w:rPr>
      </w:pPr>
      <w:r>
        <w:rPr>
          <w:i/>
          <w:sz w:val="26"/>
          <w:szCs w:val="26"/>
        </w:rPr>
        <w:t>‘Did you learn something new?’ looking at identified role</w:t>
      </w:r>
    </w:p>
    <w:p w14:paraId="554547BB" w14:textId="1C7F3181" w:rsidR="00363B59" w:rsidRDefault="00515E4B" w:rsidP="00515E4B">
      <w:r>
        <w:rPr>
          <w:szCs w:val="32"/>
        </w:rPr>
        <w:t xml:space="preserve">These </w:t>
      </w:r>
      <w:r w:rsidR="00784587">
        <w:rPr>
          <w:szCs w:val="32"/>
        </w:rPr>
        <w:t xml:space="preserve">described themes </w:t>
      </w:r>
      <w:r>
        <w:rPr>
          <w:szCs w:val="32"/>
        </w:rPr>
        <w:t xml:space="preserve">illustrate a summation of all responses </w:t>
      </w:r>
      <w:r w:rsidRPr="00087E91">
        <w:rPr>
          <w:i/>
          <w:szCs w:val="32"/>
        </w:rPr>
        <w:t>without</w:t>
      </w:r>
      <w:r>
        <w:rPr>
          <w:szCs w:val="32"/>
        </w:rPr>
        <w:t xml:space="preserve"> taking into consideration the role (</w:t>
      </w:r>
      <w:r w:rsidR="00784587">
        <w:rPr>
          <w:szCs w:val="32"/>
        </w:rPr>
        <w:t xml:space="preserve">looking directly at </w:t>
      </w:r>
      <w:r>
        <w:rPr>
          <w:szCs w:val="32"/>
        </w:rPr>
        <w:t xml:space="preserve">education or </w:t>
      </w:r>
      <w:r w:rsidR="00DE7EE2">
        <w:rPr>
          <w:szCs w:val="32"/>
        </w:rPr>
        <w:t>regulation</w:t>
      </w:r>
      <w:r>
        <w:rPr>
          <w:szCs w:val="32"/>
        </w:rPr>
        <w:t>) of the individual respondent in the food safety community.</w:t>
      </w:r>
      <w:r w:rsidR="00C35D39">
        <w:rPr>
          <w:szCs w:val="32"/>
        </w:rPr>
        <w:t xml:space="preserve"> </w:t>
      </w:r>
      <w:r>
        <w:t>However, when you sort the responses by role, it is important to see that the themes tend to align by an individual’s identified role in the produce safety community and are not distributed evenly throug</w:t>
      </w:r>
      <w:r w:rsidR="00DE7EE2">
        <w:t>hout the group at large (</w:t>
      </w:r>
      <w:r w:rsidR="00DE7EE2" w:rsidRPr="00DE7EE2">
        <w:rPr>
          <w:b/>
        </w:rPr>
        <w:t>Table 4</w:t>
      </w:r>
      <w:r w:rsidRPr="00DE7EE2">
        <w:rPr>
          <w:b/>
        </w:rPr>
        <w:t>.</w:t>
      </w:r>
      <w:r>
        <w:t>).</w:t>
      </w:r>
      <w:r w:rsidR="00C35D39">
        <w:t xml:space="preserve"> </w:t>
      </w:r>
      <w:r>
        <w:t xml:space="preserve">The </w:t>
      </w:r>
      <w:r w:rsidR="00677BF4">
        <w:t>first-</w:t>
      </w:r>
      <w:r>
        <w:t xml:space="preserve">ranked theme remained the same while looking at responses based on role, but the </w:t>
      </w:r>
      <w:r w:rsidR="00677BF4">
        <w:t xml:space="preserve">second- </w:t>
      </w:r>
      <w:r>
        <w:t xml:space="preserve">and </w:t>
      </w:r>
      <w:r w:rsidR="00677BF4">
        <w:t>third-</w:t>
      </w:r>
      <w:r>
        <w:t>ranked themes shift and align by role.</w:t>
      </w:r>
      <w:r w:rsidR="00C35D39">
        <w:t xml:space="preserve"> </w:t>
      </w:r>
      <w:r>
        <w:t xml:space="preserve">It is predominately </w:t>
      </w:r>
      <w:r w:rsidR="00677BF4">
        <w:t xml:space="preserve">those in </w:t>
      </w:r>
      <w:r>
        <w:t xml:space="preserve">the government/regulator role </w:t>
      </w:r>
      <w:r w:rsidR="00677BF4">
        <w:t xml:space="preserve">who </w:t>
      </w:r>
      <w:r>
        <w:t xml:space="preserve">learned about “state variation in the implementation of FSMA” at 36% and it is the educators </w:t>
      </w:r>
      <w:r w:rsidR="00677BF4">
        <w:t xml:space="preserve">who </w:t>
      </w:r>
      <w:r>
        <w:t>learned about “individual needs for growers, buyers and processors,” at 18%.</w:t>
      </w:r>
    </w:p>
    <w:tbl>
      <w:tblPr>
        <w:tblW w:w="9389" w:type="dxa"/>
        <w:tblInd w:w="-5" w:type="dxa"/>
        <w:tblLook w:val="04A0" w:firstRow="1" w:lastRow="0" w:firstColumn="1" w:lastColumn="0" w:noHBand="0" w:noVBand="1"/>
      </w:tblPr>
      <w:tblGrid>
        <w:gridCol w:w="4677"/>
        <w:gridCol w:w="1451"/>
        <w:gridCol w:w="1738"/>
        <w:gridCol w:w="1523"/>
      </w:tblGrid>
      <w:tr w:rsidR="00515E4B" w:rsidRPr="004149B6" w14:paraId="20C2CADA" w14:textId="77777777" w:rsidTr="00C77B6D">
        <w:trPr>
          <w:trHeight w:val="246"/>
        </w:trPr>
        <w:tc>
          <w:tcPr>
            <w:tcW w:w="46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B68882" w14:textId="77777777" w:rsidR="00515E4B" w:rsidRPr="004149B6" w:rsidRDefault="00515E4B" w:rsidP="00C77B6D">
            <w:pPr>
              <w:spacing w:after="0" w:line="240" w:lineRule="auto"/>
              <w:rPr>
                <w:rFonts w:eastAsia="Times New Roman" w:cs="Arial"/>
                <w:b/>
                <w:bCs/>
                <w:color w:val="000000"/>
              </w:rPr>
            </w:pPr>
            <w:r>
              <w:rPr>
                <w:rFonts w:eastAsia="Times New Roman" w:cs="Arial"/>
                <w:b/>
                <w:bCs/>
                <w:color w:val="000000"/>
              </w:rPr>
              <w:t>2019 Themes: “</w:t>
            </w:r>
            <w:r w:rsidRPr="004149B6">
              <w:rPr>
                <w:rFonts w:eastAsia="Times New Roman" w:cs="Arial"/>
                <w:b/>
                <w:bCs/>
                <w:color w:val="000000"/>
              </w:rPr>
              <w:t>What did you learn</w:t>
            </w:r>
            <w:r>
              <w:rPr>
                <w:rFonts w:eastAsia="Times New Roman" w:cs="Arial"/>
                <w:b/>
                <w:bCs/>
                <w:color w:val="000000"/>
              </w:rPr>
              <w:t>?”</w:t>
            </w:r>
          </w:p>
        </w:tc>
        <w:tc>
          <w:tcPr>
            <w:tcW w:w="1451" w:type="dxa"/>
            <w:tcBorders>
              <w:top w:val="single" w:sz="4" w:space="0" w:color="auto"/>
              <w:left w:val="nil"/>
              <w:bottom w:val="single" w:sz="4" w:space="0" w:color="auto"/>
              <w:right w:val="single" w:sz="4" w:space="0" w:color="auto"/>
            </w:tcBorders>
            <w:shd w:val="clear" w:color="auto" w:fill="auto"/>
            <w:vAlign w:val="bottom"/>
            <w:hideMark/>
          </w:tcPr>
          <w:p w14:paraId="4A9FCB14" w14:textId="4AE255EF" w:rsidR="00515E4B" w:rsidRPr="004149B6" w:rsidRDefault="00515E4B" w:rsidP="00C77B6D">
            <w:pPr>
              <w:spacing w:after="0" w:line="240" w:lineRule="auto"/>
              <w:jc w:val="center"/>
              <w:rPr>
                <w:rFonts w:eastAsia="Times New Roman" w:cs="Arial"/>
                <w:b/>
                <w:bCs/>
                <w:color w:val="000000"/>
              </w:rPr>
            </w:pPr>
            <w:r w:rsidRPr="004149B6">
              <w:rPr>
                <w:rFonts w:eastAsia="Times New Roman" w:cs="Arial"/>
                <w:b/>
                <w:bCs/>
                <w:color w:val="000000"/>
              </w:rPr>
              <w:t xml:space="preserve">Total Attendee </w:t>
            </w:r>
            <w:r w:rsidR="008A64F8">
              <w:rPr>
                <w:rFonts w:eastAsia="Times New Roman" w:cs="Arial"/>
                <w:b/>
                <w:bCs/>
                <w:color w:val="000000"/>
              </w:rPr>
              <w:t>(N)</w:t>
            </w:r>
          </w:p>
        </w:tc>
        <w:tc>
          <w:tcPr>
            <w:tcW w:w="1738" w:type="dxa"/>
            <w:tcBorders>
              <w:top w:val="single" w:sz="4" w:space="0" w:color="auto"/>
              <w:left w:val="nil"/>
              <w:bottom w:val="single" w:sz="4" w:space="0" w:color="auto"/>
              <w:right w:val="single" w:sz="4" w:space="0" w:color="auto"/>
            </w:tcBorders>
            <w:shd w:val="clear" w:color="auto" w:fill="auto"/>
            <w:vAlign w:val="bottom"/>
            <w:hideMark/>
          </w:tcPr>
          <w:p w14:paraId="6F3E8EA9" w14:textId="209F3DC1" w:rsidR="00515E4B" w:rsidRPr="004149B6" w:rsidRDefault="00A10767" w:rsidP="00C77B6D">
            <w:pPr>
              <w:spacing w:after="0" w:line="240" w:lineRule="auto"/>
              <w:jc w:val="center"/>
              <w:rPr>
                <w:rFonts w:eastAsia="Times New Roman" w:cs="Arial"/>
                <w:b/>
                <w:bCs/>
                <w:color w:val="000000"/>
              </w:rPr>
            </w:pPr>
            <w:r>
              <w:rPr>
                <w:rFonts w:eastAsia="Times New Roman" w:cs="Arial"/>
                <w:b/>
                <w:bCs/>
                <w:color w:val="000000"/>
              </w:rPr>
              <w:t>Educator</w:t>
            </w:r>
            <w:r w:rsidR="008A64F8">
              <w:rPr>
                <w:rFonts w:eastAsia="Times New Roman" w:cs="Arial"/>
                <w:b/>
                <w:bCs/>
                <w:color w:val="000000"/>
              </w:rPr>
              <w:t xml:space="preserve"> (N)</w:t>
            </w:r>
          </w:p>
        </w:tc>
        <w:tc>
          <w:tcPr>
            <w:tcW w:w="1523" w:type="dxa"/>
            <w:tcBorders>
              <w:top w:val="single" w:sz="4" w:space="0" w:color="auto"/>
              <w:left w:val="nil"/>
              <w:bottom w:val="single" w:sz="4" w:space="0" w:color="auto"/>
              <w:right w:val="single" w:sz="4" w:space="0" w:color="auto"/>
            </w:tcBorders>
            <w:shd w:val="clear" w:color="auto" w:fill="auto"/>
            <w:vAlign w:val="bottom"/>
            <w:hideMark/>
          </w:tcPr>
          <w:p w14:paraId="4DF3E5C6" w14:textId="2D9D7491" w:rsidR="00515E4B" w:rsidRPr="004149B6" w:rsidRDefault="00515E4B" w:rsidP="00A10767">
            <w:pPr>
              <w:spacing w:after="0" w:line="240" w:lineRule="auto"/>
              <w:jc w:val="center"/>
              <w:rPr>
                <w:rFonts w:eastAsia="Times New Roman" w:cs="Arial"/>
                <w:b/>
                <w:bCs/>
                <w:color w:val="000000"/>
              </w:rPr>
            </w:pPr>
            <w:r w:rsidRPr="004149B6">
              <w:rPr>
                <w:rFonts w:eastAsia="Times New Roman" w:cs="Arial"/>
                <w:b/>
                <w:bCs/>
                <w:color w:val="000000"/>
              </w:rPr>
              <w:t>Reg</w:t>
            </w:r>
            <w:r w:rsidR="00A10767">
              <w:rPr>
                <w:rFonts w:eastAsia="Times New Roman" w:cs="Arial"/>
                <w:b/>
                <w:bCs/>
                <w:color w:val="000000"/>
              </w:rPr>
              <w:t>ulator</w:t>
            </w:r>
            <w:r w:rsidR="008A64F8">
              <w:rPr>
                <w:rFonts w:eastAsia="Times New Roman" w:cs="Arial"/>
                <w:b/>
                <w:bCs/>
                <w:color w:val="000000"/>
              </w:rPr>
              <w:t xml:space="preserve"> (N)</w:t>
            </w:r>
            <w:r w:rsidRPr="004149B6">
              <w:rPr>
                <w:rFonts w:eastAsia="Times New Roman" w:cs="Arial"/>
                <w:b/>
                <w:bCs/>
                <w:color w:val="000000"/>
              </w:rPr>
              <w:t xml:space="preserve"> </w:t>
            </w:r>
          </w:p>
        </w:tc>
      </w:tr>
      <w:tr w:rsidR="00515E4B" w:rsidRPr="004149B6" w14:paraId="28152A26" w14:textId="77777777" w:rsidTr="00C77B6D">
        <w:trPr>
          <w:trHeight w:val="226"/>
        </w:trPr>
        <w:tc>
          <w:tcPr>
            <w:tcW w:w="4677" w:type="dxa"/>
            <w:tcBorders>
              <w:top w:val="nil"/>
              <w:left w:val="single" w:sz="4" w:space="0" w:color="auto"/>
              <w:bottom w:val="single" w:sz="4" w:space="0" w:color="auto"/>
              <w:right w:val="single" w:sz="4" w:space="0" w:color="auto"/>
            </w:tcBorders>
            <w:shd w:val="clear" w:color="auto" w:fill="auto"/>
            <w:noWrap/>
            <w:vAlign w:val="bottom"/>
            <w:hideMark/>
          </w:tcPr>
          <w:p w14:paraId="6BECD294" w14:textId="77777777" w:rsidR="00515E4B" w:rsidRPr="004149B6" w:rsidRDefault="00515E4B" w:rsidP="00C77B6D">
            <w:pPr>
              <w:spacing w:after="0" w:line="240" w:lineRule="auto"/>
              <w:rPr>
                <w:rFonts w:eastAsia="Times New Roman" w:cs="Arial"/>
                <w:color w:val="000000"/>
              </w:rPr>
            </w:pPr>
            <w:r w:rsidRPr="004149B6">
              <w:rPr>
                <w:rFonts w:eastAsia="Times New Roman" w:cs="Arial"/>
                <w:color w:val="000000"/>
              </w:rPr>
              <w:t>Greater understanding of educational efforts</w:t>
            </w:r>
          </w:p>
        </w:tc>
        <w:tc>
          <w:tcPr>
            <w:tcW w:w="1451" w:type="dxa"/>
            <w:tcBorders>
              <w:top w:val="nil"/>
              <w:left w:val="nil"/>
              <w:bottom w:val="single" w:sz="4" w:space="0" w:color="auto"/>
              <w:right w:val="single" w:sz="4" w:space="0" w:color="auto"/>
            </w:tcBorders>
            <w:shd w:val="clear" w:color="auto" w:fill="auto"/>
            <w:noWrap/>
            <w:vAlign w:val="bottom"/>
            <w:hideMark/>
          </w:tcPr>
          <w:p w14:paraId="7757593F" w14:textId="77777777" w:rsidR="00515E4B" w:rsidRPr="004149B6" w:rsidRDefault="00515E4B" w:rsidP="00C77B6D">
            <w:pPr>
              <w:spacing w:after="0" w:line="240" w:lineRule="auto"/>
              <w:jc w:val="center"/>
              <w:rPr>
                <w:rFonts w:eastAsia="Times New Roman" w:cs="Arial"/>
                <w:color w:val="000000"/>
              </w:rPr>
            </w:pPr>
            <w:r>
              <w:rPr>
                <w:rFonts w:eastAsia="Times New Roman" w:cs="Arial"/>
                <w:color w:val="000000"/>
              </w:rPr>
              <w:t xml:space="preserve">(30) </w:t>
            </w:r>
            <w:r w:rsidRPr="004149B6">
              <w:rPr>
                <w:rFonts w:eastAsia="Times New Roman" w:cs="Arial"/>
                <w:color w:val="000000"/>
              </w:rPr>
              <w:t>48%</w:t>
            </w:r>
          </w:p>
        </w:tc>
        <w:tc>
          <w:tcPr>
            <w:tcW w:w="1738" w:type="dxa"/>
            <w:tcBorders>
              <w:top w:val="nil"/>
              <w:left w:val="nil"/>
              <w:bottom w:val="single" w:sz="4" w:space="0" w:color="auto"/>
              <w:right w:val="single" w:sz="4" w:space="0" w:color="auto"/>
            </w:tcBorders>
            <w:shd w:val="clear" w:color="000000" w:fill="E2EFDA"/>
            <w:noWrap/>
            <w:vAlign w:val="bottom"/>
            <w:hideMark/>
          </w:tcPr>
          <w:p w14:paraId="6D07ABDD" w14:textId="77777777" w:rsidR="00515E4B" w:rsidRPr="004149B6" w:rsidRDefault="00515E4B" w:rsidP="00C77B6D">
            <w:pPr>
              <w:spacing w:after="0" w:line="240" w:lineRule="auto"/>
              <w:jc w:val="center"/>
              <w:rPr>
                <w:rFonts w:eastAsia="Times New Roman" w:cs="Arial"/>
                <w:color w:val="000000"/>
              </w:rPr>
            </w:pPr>
            <w:r>
              <w:rPr>
                <w:rFonts w:eastAsia="Times New Roman" w:cs="Arial"/>
                <w:color w:val="000000"/>
              </w:rPr>
              <w:t xml:space="preserve">(13) </w:t>
            </w:r>
            <w:r w:rsidRPr="004149B6">
              <w:rPr>
                <w:rFonts w:eastAsia="Times New Roman" w:cs="Arial"/>
                <w:color w:val="000000"/>
              </w:rPr>
              <w:t>46%</w:t>
            </w:r>
          </w:p>
        </w:tc>
        <w:tc>
          <w:tcPr>
            <w:tcW w:w="1523" w:type="dxa"/>
            <w:tcBorders>
              <w:top w:val="nil"/>
              <w:left w:val="nil"/>
              <w:bottom w:val="single" w:sz="4" w:space="0" w:color="auto"/>
              <w:right w:val="single" w:sz="4" w:space="0" w:color="auto"/>
            </w:tcBorders>
            <w:shd w:val="clear" w:color="000000" w:fill="E2EFDA"/>
            <w:noWrap/>
            <w:vAlign w:val="bottom"/>
            <w:hideMark/>
          </w:tcPr>
          <w:p w14:paraId="5A591F5D" w14:textId="77777777" w:rsidR="00515E4B" w:rsidRPr="004149B6" w:rsidRDefault="00515E4B" w:rsidP="00C77B6D">
            <w:pPr>
              <w:spacing w:after="0" w:line="240" w:lineRule="auto"/>
              <w:jc w:val="center"/>
              <w:rPr>
                <w:rFonts w:eastAsia="Times New Roman" w:cs="Arial"/>
                <w:color w:val="000000"/>
              </w:rPr>
            </w:pPr>
            <w:r>
              <w:rPr>
                <w:rFonts w:eastAsia="Times New Roman" w:cs="Arial"/>
                <w:color w:val="000000"/>
              </w:rPr>
              <w:t xml:space="preserve">(12) </w:t>
            </w:r>
            <w:r w:rsidRPr="004149B6">
              <w:rPr>
                <w:rFonts w:eastAsia="Times New Roman" w:cs="Arial"/>
                <w:color w:val="000000"/>
              </w:rPr>
              <w:t>43%</w:t>
            </w:r>
          </w:p>
        </w:tc>
      </w:tr>
      <w:tr w:rsidR="00515E4B" w:rsidRPr="004149B6" w14:paraId="10411E45" w14:textId="77777777" w:rsidTr="001A6C24">
        <w:trPr>
          <w:trHeight w:val="226"/>
        </w:trPr>
        <w:tc>
          <w:tcPr>
            <w:tcW w:w="4677" w:type="dxa"/>
            <w:tcBorders>
              <w:top w:val="nil"/>
              <w:left w:val="single" w:sz="4" w:space="0" w:color="auto"/>
              <w:bottom w:val="single" w:sz="4" w:space="0" w:color="auto"/>
              <w:right w:val="single" w:sz="4" w:space="0" w:color="auto"/>
            </w:tcBorders>
            <w:shd w:val="clear" w:color="auto" w:fill="auto"/>
            <w:noWrap/>
            <w:vAlign w:val="bottom"/>
            <w:hideMark/>
          </w:tcPr>
          <w:p w14:paraId="4EFEB4D8" w14:textId="77777777" w:rsidR="00515E4B" w:rsidRPr="004149B6" w:rsidRDefault="00515E4B" w:rsidP="00C77B6D">
            <w:pPr>
              <w:spacing w:after="0" w:line="240" w:lineRule="auto"/>
              <w:rPr>
                <w:rFonts w:eastAsia="Times New Roman" w:cs="Arial"/>
                <w:color w:val="000000"/>
              </w:rPr>
            </w:pPr>
            <w:r w:rsidRPr="004149B6">
              <w:rPr>
                <w:rFonts w:eastAsia="Times New Roman" w:cs="Arial"/>
                <w:color w:val="000000"/>
              </w:rPr>
              <w:t>State variation in implementation of FSMA</w:t>
            </w:r>
          </w:p>
        </w:tc>
        <w:tc>
          <w:tcPr>
            <w:tcW w:w="1451" w:type="dxa"/>
            <w:tcBorders>
              <w:top w:val="nil"/>
              <w:left w:val="nil"/>
              <w:bottom w:val="single" w:sz="4" w:space="0" w:color="auto"/>
              <w:right w:val="single" w:sz="4" w:space="0" w:color="auto"/>
            </w:tcBorders>
            <w:shd w:val="clear" w:color="auto" w:fill="auto"/>
            <w:noWrap/>
            <w:vAlign w:val="bottom"/>
            <w:hideMark/>
          </w:tcPr>
          <w:p w14:paraId="1C6C8F6C" w14:textId="77777777" w:rsidR="00515E4B" w:rsidRPr="004149B6" w:rsidRDefault="00515E4B" w:rsidP="00C77B6D">
            <w:pPr>
              <w:spacing w:after="0" w:line="240" w:lineRule="auto"/>
              <w:jc w:val="center"/>
              <w:rPr>
                <w:rFonts w:eastAsia="Times New Roman" w:cs="Arial"/>
                <w:color w:val="000000"/>
              </w:rPr>
            </w:pPr>
            <w:r>
              <w:rPr>
                <w:rFonts w:eastAsia="Times New Roman" w:cs="Arial"/>
                <w:color w:val="000000"/>
              </w:rPr>
              <w:t xml:space="preserve">(14) </w:t>
            </w:r>
            <w:r w:rsidRPr="004149B6">
              <w:rPr>
                <w:rFonts w:eastAsia="Times New Roman" w:cs="Arial"/>
                <w:color w:val="000000"/>
              </w:rPr>
              <w:t>22%</w:t>
            </w:r>
          </w:p>
        </w:tc>
        <w:tc>
          <w:tcPr>
            <w:tcW w:w="1738" w:type="dxa"/>
            <w:tcBorders>
              <w:top w:val="nil"/>
              <w:left w:val="nil"/>
              <w:bottom w:val="single" w:sz="4" w:space="0" w:color="auto"/>
              <w:right w:val="single" w:sz="4" w:space="0" w:color="auto"/>
            </w:tcBorders>
            <w:shd w:val="clear" w:color="auto" w:fill="DFC9EF"/>
            <w:noWrap/>
            <w:vAlign w:val="bottom"/>
            <w:hideMark/>
          </w:tcPr>
          <w:p w14:paraId="0BC6EA9E" w14:textId="77777777" w:rsidR="00515E4B" w:rsidRPr="004149B6" w:rsidRDefault="00515E4B" w:rsidP="00C77B6D">
            <w:pPr>
              <w:spacing w:after="0" w:line="240" w:lineRule="auto"/>
              <w:jc w:val="center"/>
              <w:rPr>
                <w:rFonts w:eastAsia="Times New Roman" w:cs="Arial"/>
                <w:color w:val="000000"/>
              </w:rPr>
            </w:pPr>
            <w:r>
              <w:rPr>
                <w:rFonts w:eastAsia="Times New Roman" w:cs="Arial"/>
                <w:color w:val="000000"/>
              </w:rPr>
              <w:t xml:space="preserve">(3) </w:t>
            </w:r>
            <w:r w:rsidRPr="004149B6">
              <w:rPr>
                <w:rFonts w:eastAsia="Times New Roman" w:cs="Arial"/>
                <w:color w:val="000000"/>
              </w:rPr>
              <w:t>11%</w:t>
            </w:r>
          </w:p>
        </w:tc>
        <w:tc>
          <w:tcPr>
            <w:tcW w:w="1523" w:type="dxa"/>
            <w:tcBorders>
              <w:top w:val="nil"/>
              <w:left w:val="nil"/>
              <w:bottom w:val="single" w:sz="4" w:space="0" w:color="auto"/>
              <w:right w:val="single" w:sz="4" w:space="0" w:color="auto"/>
            </w:tcBorders>
            <w:shd w:val="clear" w:color="000000" w:fill="FFF2CC"/>
            <w:noWrap/>
            <w:vAlign w:val="bottom"/>
            <w:hideMark/>
          </w:tcPr>
          <w:p w14:paraId="692374B4" w14:textId="77777777" w:rsidR="00515E4B" w:rsidRPr="004149B6" w:rsidRDefault="00515E4B" w:rsidP="00C77B6D">
            <w:pPr>
              <w:spacing w:after="0" w:line="240" w:lineRule="auto"/>
              <w:jc w:val="center"/>
              <w:rPr>
                <w:rFonts w:eastAsia="Times New Roman" w:cs="Arial"/>
                <w:color w:val="000000"/>
              </w:rPr>
            </w:pPr>
            <w:r>
              <w:rPr>
                <w:rFonts w:eastAsia="Times New Roman" w:cs="Arial"/>
                <w:color w:val="000000"/>
              </w:rPr>
              <w:t xml:space="preserve">(10) </w:t>
            </w:r>
            <w:r w:rsidRPr="004149B6">
              <w:rPr>
                <w:rFonts w:eastAsia="Times New Roman" w:cs="Arial"/>
                <w:color w:val="000000"/>
              </w:rPr>
              <w:t>36%</w:t>
            </w:r>
          </w:p>
        </w:tc>
      </w:tr>
      <w:tr w:rsidR="00515E4B" w:rsidRPr="004149B6" w14:paraId="7C4854E1" w14:textId="77777777" w:rsidTr="00C77B6D">
        <w:trPr>
          <w:trHeight w:val="226"/>
        </w:trPr>
        <w:tc>
          <w:tcPr>
            <w:tcW w:w="4677" w:type="dxa"/>
            <w:tcBorders>
              <w:top w:val="nil"/>
              <w:left w:val="single" w:sz="4" w:space="0" w:color="auto"/>
              <w:bottom w:val="single" w:sz="4" w:space="0" w:color="auto"/>
              <w:right w:val="single" w:sz="4" w:space="0" w:color="auto"/>
            </w:tcBorders>
            <w:shd w:val="clear" w:color="auto" w:fill="auto"/>
            <w:noWrap/>
            <w:vAlign w:val="bottom"/>
            <w:hideMark/>
          </w:tcPr>
          <w:p w14:paraId="2D3300BA" w14:textId="77777777" w:rsidR="00515E4B" w:rsidRPr="004149B6" w:rsidRDefault="00515E4B" w:rsidP="00C77B6D">
            <w:pPr>
              <w:spacing w:after="0" w:line="240" w:lineRule="auto"/>
              <w:rPr>
                <w:rFonts w:eastAsia="Times New Roman" w:cs="Arial"/>
                <w:color w:val="000000"/>
              </w:rPr>
            </w:pPr>
            <w:r w:rsidRPr="004149B6">
              <w:rPr>
                <w:rFonts w:eastAsia="Times New Roman" w:cs="Arial"/>
                <w:color w:val="000000"/>
              </w:rPr>
              <w:t>Individual needs for growers, buyers and processors</w:t>
            </w:r>
          </w:p>
        </w:tc>
        <w:tc>
          <w:tcPr>
            <w:tcW w:w="1451" w:type="dxa"/>
            <w:tcBorders>
              <w:top w:val="nil"/>
              <w:left w:val="nil"/>
              <w:bottom w:val="single" w:sz="4" w:space="0" w:color="auto"/>
              <w:right w:val="single" w:sz="4" w:space="0" w:color="auto"/>
            </w:tcBorders>
            <w:shd w:val="clear" w:color="auto" w:fill="auto"/>
            <w:noWrap/>
            <w:vAlign w:val="bottom"/>
            <w:hideMark/>
          </w:tcPr>
          <w:p w14:paraId="18AFBA3C" w14:textId="77777777" w:rsidR="00515E4B" w:rsidRPr="004149B6" w:rsidRDefault="00515E4B" w:rsidP="00C77B6D">
            <w:pPr>
              <w:spacing w:after="0" w:line="240" w:lineRule="auto"/>
              <w:jc w:val="center"/>
              <w:rPr>
                <w:rFonts w:eastAsia="Times New Roman" w:cs="Arial"/>
                <w:color w:val="000000"/>
              </w:rPr>
            </w:pPr>
            <w:r>
              <w:rPr>
                <w:rFonts w:eastAsia="Times New Roman" w:cs="Arial"/>
                <w:color w:val="000000"/>
              </w:rPr>
              <w:t xml:space="preserve">(6) </w:t>
            </w:r>
            <w:r w:rsidRPr="004149B6">
              <w:rPr>
                <w:rFonts w:eastAsia="Times New Roman" w:cs="Arial"/>
                <w:color w:val="000000"/>
              </w:rPr>
              <w:t>10%</w:t>
            </w:r>
          </w:p>
        </w:tc>
        <w:tc>
          <w:tcPr>
            <w:tcW w:w="1738" w:type="dxa"/>
            <w:tcBorders>
              <w:top w:val="nil"/>
              <w:left w:val="nil"/>
              <w:bottom w:val="single" w:sz="4" w:space="0" w:color="auto"/>
              <w:right w:val="single" w:sz="4" w:space="0" w:color="auto"/>
            </w:tcBorders>
            <w:shd w:val="clear" w:color="000000" w:fill="FFF2CC"/>
            <w:noWrap/>
            <w:vAlign w:val="bottom"/>
            <w:hideMark/>
          </w:tcPr>
          <w:p w14:paraId="28886165" w14:textId="77777777" w:rsidR="00515E4B" w:rsidRPr="004149B6" w:rsidRDefault="00515E4B" w:rsidP="00C77B6D">
            <w:pPr>
              <w:spacing w:after="0" w:line="240" w:lineRule="auto"/>
              <w:jc w:val="center"/>
              <w:rPr>
                <w:rFonts w:eastAsia="Times New Roman" w:cs="Arial"/>
                <w:color w:val="000000"/>
              </w:rPr>
            </w:pPr>
            <w:r>
              <w:rPr>
                <w:rFonts w:eastAsia="Times New Roman" w:cs="Arial"/>
                <w:color w:val="000000"/>
              </w:rPr>
              <w:t xml:space="preserve">(5) </w:t>
            </w:r>
            <w:r w:rsidRPr="004149B6">
              <w:rPr>
                <w:rFonts w:eastAsia="Times New Roman" w:cs="Arial"/>
                <w:color w:val="000000"/>
              </w:rPr>
              <w:t>18%</w:t>
            </w:r>
          </w:p>
        </w:tc>
        <w:tc>
          <w:tcPr>
            <w:tcW w:w="1523" w:type="dxa"/>
            <w:tcBorders>
              <w:top w:val="nil"/>
              <w:left w:val="nil"/>
              <w:bottom w:val="single" w:sz="4" w:space="0" w:color="auto"/>
              <w:right w:val="single" w:sz="4" w:space="0" w:color="auto"/>
            </w:tcBorders>
            <w:shd w:val="clear" w:color="auto" w:fill="auto"/>
            <w:noWrap/>
            <w:vAlign w:val="bottom"/>
            <w:hideMark/>
          </w:tcPr>
          <w:p w14:paraId="130D321E" w14:textId="77777777" w:rsidR="00515E4B" w:rsidRPr="004149B6" w:rsidRDefault="00515E4B" w:rsidP="00C77B6D">
            <w:pPr>
              <w:spacing w:after="0" w:line="240" w:lineRule="auto"/>
              <w:jc w:val="center"/>
              <w:rPr>
                <w:rFonts w:eastAsia="Times New Roman" w:cs="Arial"/>
                <w:color w:val="000000"/>
              </w:rPr>
            </w:pPr>
            <w:r>
              <w:rPr>
                <w:rFonts w:eastAsia="Times New Roman" w:cs="Arial"/>
                <w:color w:val="000000"/>
              </w:rPr>
              <w:t xml:space="preserve">(1) </w:t>
            </w:r>
            <w:r w:rsidRPr="004149B6">
              <w:rPr>
                <w:rFonts w:eastAsia="Times New Roman" w:cs="Arial"/>
                <w:color w:val="000000"/>
              </w:rPr>
              <w:t>4%</w:t>
            </w:r>
          </w:p>
        </w:tc>
      </w:tr>
      <w:tr w:rsidR="00515E4B" w:rsidRPr="004149B6" w14:paraId="665CE188" w14:textId="77777777" w:rsidTr="001A6C24">
        <w:trPr>
          <w:trHeight w:val="226"/>
        </w:trPr>
        <w:tc>
          <w:tcPr>
            <w:tcW w:w="4677" w:type="dxa"/>
            <w:tcBorders>
              <w:top w:val="nil"/>
              <w:left w:val="single" w:sz="4" w:space="0" w:color="auto"/>
              <w:bottom w:val="single" w:sz="4" w:space="0" w:color="auto"/>
              <w:right w:val="single" w:sz="4" w:space="0" w:color="auto"/>
            </w:tcBorders>
            <w:shd w:val="clear" w:color="auto" w:fill="auto"/>
            <w:noWrap/>
            <w:vAlign w:val="bottom"/>
            <w:hideMark/>
          </w:tcPr>
          <w:p w14:paraId="7DED2D7A" w14:textId="77777777" w:rsidR="00515E4B" w:rsidRPr="004149B6" w:rsidRDefault="00515E4B" w:rsidP="00C77B6D">
            <w:pPr>
              <w:spacing w:after="0" w:line="240" w:lineRule="auto"/>
              <w:rPr>
                <w:rFonts w:eastAsia="Times New Roman" w:cs="Arial"/>
                <w:color w:val="000000"/>
              </w:rPr>
            </w:pPr>
            <w:r w:rsidRPr="004149B6">
              <w:rPr>
                <w:rFonts w:eastAsia="Times New Roman" w:cs="Arial"/>
                <w:color w:val="000000"/>
              </w:rPr>
              <w:t>Different avenues to receive financial support</w:t>
            </w:r>
          </w:p>
        </w:tc>
        <w:tc>
          <w:tcPr>
            <w:tcW w:w="1451" w:type="dxa"/>
            <w:tcBorders>
              <w:top w:val="nil"/>
              <w:left w:val="nil"/>
              <w:bottom w:val="single" w:sz="4" w:space="0" w:color="auto"/>
              <w:right w:val="single" w:sz="4" w:space="0" w:color="auto"/>
            </w:tcBorders>
            <w:shd w:val="clear" w:color="auto" w:fill="auto"/>
            <w:noWrap/>
            <w:vAlign w:val="bottom"/>
            <w:hideMark/>
          </w:tcPr>
          <w:p w14:paraId="0EF69756" w14:textId="77777777" w:rsidR="00515E4B" w:rsidRPr="004149B6" w:rsidRDefault="00515E4B" w:rsidP="00C77B6D">
            <w:pPr>
              <w:spacing w:after="0" w:line="240" w:lineRule="auto"/>
              <w:jc w:val="center"/>
              <w:rPr>
                <w:rFonts w:eastAsia="Times New Roman" w:cs="Arial"/>
                <w:color w:val="000000"/>
              </w:rPr>
            </w:pPr>
            <w:r>
              <w:rPr>
                <w:rFonts w:eastAsia="Times New Roman" w:cs="Arial"/>
                <w:color w:val="000000"/>
              </w:rPr>
              <w:t xml:space="preserve">(4) </w:t>
            </w:r>
            <w:r w:rsidRPr="004149B6">
              <w:rPr>
                <w:rFonts w:eastAsia="Times New Roman" w:cs="Arial"/>
                <w:color w:val="000000"/>
              </w:rPr>
              <w:t>6%</w:t>
            </w:r>
          </w:p>
        </w:tc>
        <w:tc>
          <w:tcPr>
            <w:tcW w:w="1738" w:type="dxa"/>
            <w:tcBorders>
              <w:top w:val="nil"/>
              <w:left w:val="nil"/>
              <w:bottom w:val="single" w:sz="4" w:space="0" w:color="auto"/>
              <w:right w:val="single" w:sz="4" w:space="0" w:color="auto"/>
            </w:tcBorders>
            <w:shd w:val="clear" w:color="auto" w:fill="auto"/>
            <w:noWrap/>
            <w:vAlign w:val="bottom"/>
            <w:hideMark/>
          </w:tcPr>
          <w:p w14:paraId="25187504" w14:textId="77777777" w:rsidR="00515E4B" w:rsidRPr="004149B6" w:rsidRDefault="00515E4B" w:rsidP="00C77B6D">
            <w:pPr>
              <w:spacing w:after="0" w:line="240" w:lineRule="auto"/>
              <w:jc w:val="center"/>
              <w:rPr>
                <w:rFonts w:eastAsia="Times New Roman" w:cs="Arial"/>
                <w:color w:val="000000"/>
              </w:rPr>
            </w:pPr>
            <w:r>
              <w:rPr>
                <w:rFonts w:eastAsia="Times New Roman" w:cs="Arial"/>
                <w:color w:val="000000"/>
              </w:rPr>
              <w:t xml:space="preserve">(2) </w:t>
            </w:r>
            <w:r w:rsidRPr="004149B6">
              <w:rPr>
                <w:rFonts w:eastAsia="Times New Roman" w:cs="Arial"/>
                <w:color w:val="000000"/>
              </w:rPr>
              <w:t>7%</w:t>
            </w:r>
          </w:p>
        </w:tc>
        <w:tc>
          <w:tcPr>
            <w:tcW w:w="1523" w:type="dxa"/>
            <w:tcBorders>
              <w:top w:val="nil"/>
              <w:left w:val="nil"/>
              <w:bottom w:val="single" w:sz="4" w:space="0" w:color="auto"/>
              <w:right w:val="single" w:sz="4" w:space="0" w:color="auto"/>
            </w:tcBorders>
            <w:shd w:val="clear" w:color="auto" w:fill="DFC9EF"/>
            <w:noWrap/>
            <w:vAlign w:val="bottom"/>
            <w:hideMark/>
          </w:tcPr>
          <w:p w14:paraId="364DEBD3" w14:textId="77777777" w:rsidR="00515E4B" w:rsidRPr="004149B6" w:rsidRDefault="00515E4B" w:rsidP="00C77B6D">
            <w:pPr>
              <w:spacing w:after="0" w:line="240" w:lineRule="auto"/>
              <w:jc w:val="center"/>
              <w:rPr>
                <w:rFonts w:eastAsia="Times New Roman" w:cs="Arial"/>
                <w:color w:val="000000"/>
              </w:rPr>
            </w:pPr>
            <w:r>
              <w:rPr>
                <w:rFonts w:eastAsia="Times New Roman" w:cs="Arial"/>
                <w:color w:val="000000"/>
              </w:rPr>
              <w:t xml:space="preserve">(2) </w:t>
            </w:r>
            <w:r w:rsidRPr="004149B6">
              <w:rPr>
                <w:rFonts w:eastAsia="Times New Roman" w:cs="Arial"/>
                <w:color w:val="000000"/>
              </w:rPr>
              <w:t>7%</w:t>
            </w:r>
          </w:p>
        </w:tc>
      </w:tr>
      <w:tr w:rsidR="00515E4B" w:rsidRPr="004149B6" w14:paraId="2ABB021E" w14:textId="77777777" w:rsidTr="00C77B6D">
        <w:trPr>
          <w:trHeight w:val="226"/>
        </w:trPr>
        <w:tc>
          <w:tcPr>
            <w:tcW w:w="4677" w:type="dxa"/>
            <w:tcBorders>
              <w:top w:val="nil"/>
              <w:left w:val="single" w:sz="4" w:space="0" w:color="auto"/>
              <w:bottom w:val="single" w:sz="4" w:space="0" w:color="auto"/>
              <w:right w:val="single" w:sz="4" w:space="0" w:color="auto"/>
            </w:tcBorders>
            <w:shd w:val="clear" w:color="auto" w:fill="auto"/>
            <w:noWrap/>
            <w:vAlign w:val="bottom"/>
            <w:hideMark/>
          </w:tcPr>
          <w:p w14:paraId="1444FD1E" w14:textId="77777777" w:rsidR="00515E4B" w:rsidRPr="004149B6" w:rsidRDefault="00515E4B" w:rsidP="00C77B6D">
            <w:pPr>
              <w:spacing w:after="0" w:line="240" w:lineRule="auto"/>
              <w:rPr>
                <w:rFonts w:eastAsia="Times New Roman" w:cs="Arial"/>
                <w:color w:val="000000"/>
              </w:rPr>
            </w:pPr>
            <w:r w:rsidRPr="004149B6">
              <w:rPr>
                <w:rFonts w:eastAsia="Times New Roman" w:cs="Arial"/>
                <w:color w:val="000000"/>
              </w:rPr>
              <w:t>Greater understanding of FSMA and the individual rules</w:t>
            </w:r>
          </w:p>
        </w:tc>
        <w:tc>
          <w:tcPr>
            <w:tcW w:w="1451" w:type="dxa"/>
            <w:tcBorders>
              <w:top w:val="nil"/>
              <w:left w:val="nil"/>
              <w:bottom w:val="single" w:sz="4" w:space="0" w:color="auto"/>
              <w:right w:val="single" w:sz="4" w:space="0" w:color="auto"/>
            </w:tcBorders>
            <w:shd w:val="clear" w:color="auto" w:fill="auto"/>
            <w:noWrap/>
            <w:vAlign w:val="bottom"/>
            <w:hideMark/>
          </w:tcPr>
          <w:p w14:paraId="35AF3227" w14:textId="77777777" w:rsidR="00515E4B" w:rsidRPr="004149B6" w:rsidRDefault="00515E4B" w:rsidP="00C77B6D">
            <w:pPr>
              <w:spacing w:after="0" w:line="240" w:lineRule="auto"/>
              <w:jc w:val="center"/>
              <w:rPr>
                <w:rFonts w:eastAsia="Times New Roman" w:cs="Arial"/>
                <w:color w:val="000000"/>
              </w:rPr>
            </w:pPr>
            <w:r>
              <w:rPr>
                <w:rFonts w:eastAsia="Times New Roman" w:cs="Arial"/>
                <w:color w:val="000000"/>
              </w:rPr>
              <w:t xml:space="preserve">(4) </w:t>
            </w:r>
            <w:r w:rsidRPr="004149B6">
              <w:rPr>
                <w:rFonts w:eastAsia="Times New Roman" w:cs="Arial"/>
                <w:color w:val="000000"/>
              </w:rPr>
              <w:t>6%</w:t>
            </w:r>
          </w:p>
        </w:tc>
        <w:tc>
          <w:tcPr>
            <w:tcW w:w="1738" w:type="dxa"/>
            <w:tcBorders>
              <w:top w:val="nil"/>
              <w:left w:val="nil"/>
              <w:bottom w:val="single" w:sz="4" w:space="0" w:color="auto"/>
              <w:right w:val="single" w:sz="4" w:space="0" w:color="auto"/>
            </w:tcBorders>
            <w:shd w:val="clear" w:color="auto" w:fill="auto"/>
            <w:noWrap/>
            <w:vAlign w:val="bottom"/>
            <w:hideMark/>
          </w:tcPr>
          <w:p w14:paraId="1D23DC3C" w14:textId="77777777" w:rsidR="00515E4B" w:rsidRPr="004149B6" w:rsidRDefault="00515E4B" w:rsidP="00C77B6D">
            <w:pPr>
              <w:spacing w:after="0" w:line="240" w:lineRule="auto"/>
              <w:jc w:val="center"/>
              <w:rPr>
                <w:rFonts w:eastAsia="Times New Roman" w:cs="Arial"/>
                <w:color w:val="000000"/>
              </w:rPr>
            </w:pPr>
            <w:r>
              <w:rPr>
                <w:rFonts w:eastAsia="Times New Roman" w:cs="Arial"/>
                <w:color w:val="000000"/>
              </w:rPr>
              <w:t xml:space="preserve">(2) </w:t>
            </w:r>
            <w:r w:rsidRPr="004149B6">
              <w:rPr>
                <w:rFonts w:eastAsia="Times New Roman" w:cs="Arial"/>
                <w:color w:val="000000"/>
              </w:rPr>
              <w:t>7%</w:t>
            </w:r>
          </w:p>
        </w:tc>
        <w:tc>
          <w:tcPr>
            <w:tcW w:w="1523" w:type="dxa"/>
            <w:tcBorders>
              <w:top w:val="nil"/>
              <w:left w:val="nil"/>
              <w:bottom w:val="single" w:sz="4" w:space="0" w:color="auto"/>
              <w:right w:val="single" w:sz="4" w:space="0" w:color="auto"/>
            </w:tcBorders>
            <w:shd w:val="clear" w:color="auto" w:fill="auto"/>
            <w:noWrap/>
            <w:vAlign w:val="bottom"/>
            <w:hideMark/>
          </w:tcPr>
          <w:p w14:paraId="03C4AA04" w14:textId="77777777" w:rsidR="00515E4B" w:rsidRPr="004149B6" w:rsidRDefault="00515E4B" w:rsidP="00C77B6D">
            <w:pPr>
              <w:spacing w:after="0" w:line="240" w:lineRule="auto"/>
              <w:jc w:val="center"/>
              <w:rPr>
                <w:rFonts w:eastAsia="Times New Roman" w:cs="Arial"/>
                <w:color w:val="000000"/>
              </w:rPr>
            </w:pPr>
            <w:r>
              <w:rPr>
                <w:rFonts w:eastAsia="Times New Roman" w:cs="Arial"/>
                <w:color w:val="000000"/>
              </w:rPr>
              <w:t xml:space="preserve">(1) </w:t>
            </w:r>
            <w:r w:rsidRPr="004149B6">
              <w:rPr>
                <w:rFonts w:eastAsia="Times New Roman" w:cs="Arial"/>
                <w:color w:val="000000"/>
              </w:rPr>
              <w:t>4%</w:t>
            </w:r>
          </w:p>
        </w:tc>
      </w:tr>
      <w:tr w:rsidR="00515E4B" w:rsidRPr="004149B6" w14:paraId="02F4DE58" w14:textId="77777777" w:rsidTr="00C77B6D">
        <w:trPr>
          <w:trHeight w:val="226"/>
        </w:trPr>
        <w:tc>
          <w:tcPr>
            <w:tcW w:w="4677" w:type="dxa"/>
            <w:tcBorders>
              <w:top w:val="nil"/>
              <w:left w:val="single" w:sz="4" w:space="0" w:color="auto"/>
              <w:bottom w:val="single" w:sz="4" w:space="0" w:color="auto"/>
              <w:right w:val="single" w:sz="4" w:space="0" w:color="auto"/>
            </w:tcBorders>
            <w:shd w:val="clear" w:color="auto" w:fill="auto"/>
            <w:noWrap/>
            <w:vAlign w:val="bottom"/>
            <w:hideMark/>
          </w:tcPr>
          <w:p w14:paraId="634D083F" w14:textId="77777777" w:rsidR="00515E4B" w:rsidRPr="004149B6" w:rsidRDefault="00515E4B" w:rsidP="00C77B6D">
            <w:pPr>
              <w:spacing w:after="0" w:line="240" w:lineRule="auto"/>
              <w:rPr>
                <w:rFonts w:eastAsia="Times New Roman" w:cs="Arial"/>
                <w:color w:val="000000"/>
              </w:rPr>
            </w:pPr>
            <w:r w:rsidRPr="004149B6">
              <w:rPr>
                <w:rFonts w:eastAsia="Times New Roman" w:cs="Arial"/>
                <w:color w:val="000000"/>
              </w:rPr>
              <w:t xml:space="preserve">Different views from stakeholder partners </w:t>
            </w:r>
          </w:p>
        </w:tc>
        <w:tc>
          <w:tcPr>
            <w:tcW w:w="1451" w:type="dxa"/>
            <w:tcBorders>
              <w:top w:val="nil"/>
              <w:left w:val="nil"/>
              <w:bottom w:val="single" w:sz="4" w:space="0" w:color="auto"/>
              <w:right w:val="single" w:sz="4" w:space="0" w:color="auto"/>
            </w:tcBorders>
            <w:shd w:val="clear" w:color="auto" w:fill="auto"/>
            <w:noWrap/>
            <w:vAlign w:val="bottom"/>
            <w:hideMark/>
          </w:tcPr>
          <w:p w14:paraId="1D424071" w14:textId="77777777" w:rsidR="00515E4B" w:rsidRPr="004149B6" w:rsidRDefault="00515E4B" w:rsidP="00C77B6D">
            <w:pPr>
              <w:spacing w:after="0" w:line="240" w:lineRule="auto"/>
              <w:jc w:val="center"/>
              <w:rPr>
                <w:rFonts w:eastAsia="Times New Roman" w:cs="Arial"/>
                <w:color w:val="000000"/>
              </w:rPr>
            </w:pPr>
            <w:r>
              <w:rPr>
                <w:rFonts w:eastAsia="Times New Roman" w:cs="Arial"/>
                <w:color w:val="000000"/>
              </w:rPr>
              <w:t xml:space="preserve">(2) </w:t>
            </w:r>
            <w:r w:rsidRPr="004149B6">
              <w:rPr>
                <w:rFonts w:eastAsia="Times New Roman" w:cs="Arial"/>
                <w:color w:val="000000"/>
              </w:rPr>
              <w:t>3%</w:t>
            </w:r>
          </w:p>
        </w:tc>
        <w:tc>
          <w:tcPr>
            <w:tcW w:w="1738" w:type="dxa"/>
            <w:tcBorders>
              <w:top w:val="nil"/>
              <w:left w:val="nil"/>
              <w:bottom w:val="single" w:sz="4" w:space="0" w:color="auto"/>
              <w:right w:val="single" w:sz="4" w:space="0" w:color="auto"/>
            </w:tcBorders>
            <w:shd w:val="clear" w:color="auto" w:fill="auto"/>
            <w:noWrap/>
            <w:vAlign w:val="bottom"/>
            <w:hideMark/>
          </w:tcPr>
          <w:p w14:paraId="11AEE394" w14:textId="77777777" w:rsidR="00515E4B" w:rsidRPr="004149B6" w:rsidRDefault="00515E4B" w:rsidP="00C77B6D">
            <w:pPr>
              <w:spacing w:after="0" w:line="240" w:lineRule="auto"/>
              <w:jc w:val="center"/>
              <w:rPr>
                <w:rFonts w:eastAsia="Times New Roman" w:cs="Arial"/>
                <w:color w:val="000000"/>
              </w:rPr>
            </w:pPr>
            <w:r>
              <w:rPr>
                <w:rFonts w:eastAsia="Times New Roman" w:cs="Arial"/>
                <w:color w:val="000000"/>
              </w:rPr>
              <w:t xml:space="preserve">(2) </w:t>
            </w:r>
            <w:r w:rsidRPr="004149B6">
              <w:rPr>
                <w:rFonts w:eastAsia="Times New Roman" w:cs="Arial"/>
                <w:color w:val="000000"/>
              </w:rPr>
              <w:t>7%</w:t>
            </w:r>
          </w:p>
        </w:tc>
        <w:tc>
          <w:tcPr>
            <w:tcW w:w="1523" w:type="dxa"/>
            <w:tcBorders>
              <w:top w:val="nil"/>
              <w:left w:val="nil"/>
              <w:bottom w:val="single" w:sz="4" w:space="0" w:color="auto"/>
              <w:right w:val="single" w:sz="4" w:space="0" w:color="auto"/>
            </w:tcBorders>
            <w:shd w:val="clear" w:color="auto" w:fill="auto"/>
            <w:noWrap/>
            <w:vAlign w:val="bottom"/>
            <w:hideMark/>
          </w:tcPr>
          <w:p w14:paraId="7D5D64E7" w14:textId="77777777" w:rsidR="00515E4B" w:rsidRPr="004149B6" w:rsidRDefault="00515E4B" w:rsidP="00C77B6D">
            <w:pPr>
              <w:spacing w:after="0" w:line="240" w:lineRule="auto"/>
              <w:jc w:val="center"/>
              <w:rPr>
                <w:rFonts w:eastAsia="Times New Roman" w:cs="Arial"/>
                <w:color w:val="000000"/>
              </w:rPr>
            </w:pPr>
            <w:r w:rsidRPr="004149B6">
              <w:rPr>
                <w:rFonts w:eastAsia="Times New Roman" w:cs="Arial"/>
                <w:color w:val="000000"/>
              </w:rPr>
              <w:t>-</w:t>
            </w:r>
          </w:p>
        </w:tc>
      </w:tr>
      <w:tr w:rsidR="00515E4B" w:rsidRPr="004149B6" w14:paraId="79D4E6FA" w14:textId="77777777" w:rsidTr="00C77B6D">
        <w:trPr>
          <w:trHeight w:val="226"/>
        </w:trPr>
        <w:tc>
          <w:tcPr>
            <w:tcW w:w="4677" w:type="dxa"/>
            <w:tcBorders>
              <w:top w:val="nil"/>
              <w:left w:val="single" w:sz="4" w:space="0" w:color="auto"/>
              <w:bottom w:val="single" w:sz="4" w:space="0" w:color="auto"/>
              <w:right w:val="single" w:sz="4" w:space="0" w:color="auto"/>
            </w:tcBorders>
            <w:shd w:val="clear" w:color="auto" w:fill="auto"/>
            <w:noWrap/>
            <w:vAlign w:val="bottom"/>
            <w:hideMark/>
          </w:tcPr>
          <w:p w14:paraId="07028328" w14:textId="77777777" w:rsidR="00515E4B" w:rsidRPr="004149B6" w:rsidRDefault="00515E4B" w:rsidP="00C77B6D">
            <w:pPr>
              <w:spacing w:after="0" w:line="240" w:lineRule="auto"/>
              <w:rPr>
                <w:rFonts w:eastAsia="Times New Roman" w:cs="Arial"/>
                <w:color w:val="000000"/>
              </w:rPr>
            </w:pPr>
            <w:r w:rsidRPr="004149B6">
              <w:rPr>
                <w:rFonts w:eastAsia="Times New Roman" w:cs="Arial"/>
                <w:color w:val="000000"/>
              </w:rPr>
              <w:t>Share similar challenges with colleagues across the region</w:t>
            </w:r>
          </w:p>
        </w:tc>
        <w:tc>
          <w:tcPr>
            <w:tcW w:w="1451" w:type="dxa"/>
            <w:tcBorders>
              <w:top w:val="nil"/>
              <w:left w:val="nil"/>
              <w:bottom w:val="single" w:sz="4" w:space="0" w:color="auto"/>
              <w:right w:val="single" w:sz="4" w:space="0" w:color="auto"/>
            </w:tcBorders>
            <w:shd w:val="clear" w:color="auto" w:fill="auto"/>
            <w:noWrap/>
            <w:vAlign w:val="bottom"/>
            <w:hideMark/>
          </w:tcPr>
          <w:p w14:paraId="066E36F5" w14:textId="77777777" w:rsidR="00515E4B" w:rsidRPr="004149B6" w:rsidRDefault="00515E4B" w:rsidP="00C77B6D">
            <w:pPr>
              <w:spacing w:after="0" w:line="240" w:lineRule="auto"/>
              <w:jc w:val="center"/>
              <w:rPr>
                <w:rFonts w:eastAsia="Times New Roman" w:cs="Arial"/>
                <w:color w:val="000000"/>
              </w:rPr>
            </w:pPr>
            <w:r>
              <w:rPr>
                <w:rFonts w:eastAsia="Times New Roman" w:cs="Arial"/>
                <w:color w:val="000000"/>
              </w:rPr>
              <w:t xml:space="preserve">(2) </w:t>
            </w:r>
            <w:r w:rsidRPr="004149B6">
              <w:rPr>
                <w:rFonts w:eastAsia="Times New Roman" w:cs="Arial"/>
                <w:color w:val="000000"/>
              </w:rPr>
              <w:t>3%</w:t>
            </w:r>
          </w:p>
        </w:tc>
        <w:tc>
          <w:tcPr>
            <w:tcW w:w="1738" w:type="dxa"/>
            <w:tcBorders>
              <w:top w:val="nil"/>
              <w:left w:val="nil"/>
              <w:bottom w:val="single" w:sz="4" w:space="0" w:color="auto"/>
              <w:right w:val="single" w:sz="4" w:space="0" w:color="auto"/>
            </w:tcBorders>
            <w:shd w:val="clear" w:color="auto" w:fill="auto"/>
            <w:noWrap/>
            <w:vAlign w:val="bottom"/>
            <w:hideMark/>
          </w:tcPr>
          <w:p w14:paraId="4D3EF98F" w14:textId="77777777" w:rsidR="00515E4B" w:rsidRPr="006305AC" w:rsidRDefault="00515E4B" w:rsidP="00C77B6D">
            <w:pPr>
              <w:spacing w:after="0" w:line="240" w:lineRule="auto"/>
              <w:jc w:val="center"/>
              <w:rPr>
                <w:rFonts w:eastAsia="Times New Roman" w:cs="Arial"/>
                <w:color w:val="000000"/>
              </w:rPr>
            </w:pPr>
            <w:r>
              <w:rPr>
                <w:rFonts w:eastAsia="Times New Roman" w:cs="Arial"/>
                <w:color w:val="000000"/>
              </w:rPr>
              <w:t xml:space="preserve">(1) </w:t>
            </w:r>
            <w:r w:rsidRPr="006305AC">
              <w:rPr>
                <w:rFonts w:eastAsia="Times New Roman" w:cs="Arial"/>
                <w:color w:val="000000"/>
              </w:rPr>
              <w:t>4%</w:t>
            </w:r>
          </w:p>
        </w:tc>
        <w:tc>
          <w:tcPr>
            <w:tcW w:w="1523" w:type="dxa"/>
            <w:tcBorders>
              <w:top w:val="nil"/>
              <w:left w:val="nil"/>
              <w:bottom w:val="single" w:sz="4" w:space="0" w:color="auto"/>
              <w:right w:val="single" w:sz="4" w:space="0" w:color="auto"/>
            </w:tcBorders>
            <w:shd w:val="clear" w:color="auto" w:fill="auto"/>
            <w:noWrap/>
            <w:vAlign w:val="bottom"/>
            <w:hideMark/>
          </w:tcPr>
          <w:p w14:paraId="03F8C61D" w14:textId="77777777" w:rsidR="00515E4B" w:rsidRPr="004149B6" w:rsidRDefault="00515E4B" w:rsidP="00C77B6D">
            <w:pPr>
              <w:spacing w:after="0" w:line="240" w:lineRule="auto"/>
              <w:jc w:val="center"/>
              <w:rPr>
                <w:rFonts w:eastAsia="Times New Roman" w:cs="Arial"/>
                <w:color w:val="000000"/>
              </w:rPr>
            </w:pPr>
            <w:r>
              <w:rPr>
                <w:rFonts w:eastAsia="Times New Roman" w:cs="Arial"/>
                <w:color w:val="000000"/>
              </w:rPr>
              <w:t xml:space="preserve">(1) </w:t>
            </w:r>
            <w:r w:rsidRPr="004149B6">
              <w:rPr>
                <w:rFonts w:eastAsia="Times New Roman" w:cs="Arial"/>
                <w:color w:val="000000"/>
              </w:rPr>
              <w:t>4%</w:t>
            </w:r>
          </w:p>
        </w:tc>
      </w:tr>
      <w:tr w:rsidR="00515E4B" w:rsidRPr="004149B6" w14:paraId="58FBA56F" w14:textId="77777777" w:rsidTr="00C77B6D">
        <w:trPr>
          <w:trHeight w:val="226"/>
        </w:trPr>
        <w:tc>
          <w:tcPr>
            <w:tcW w:w="4677" w:type="dxa"/>
            <w:tcBorders>
              <w:top w:val="nil"/>
              <w:left w:val="single" w:sz="4" w:space="0" w:color="auto"/>
              <w:bottom w:val="single" w:sz="4" w:space="0" w:color="auto"/>
              <w:right w:val="single" w:sz="4" w:space="0" w:color="auto"/>
            </w:tcBorders>
            <w:shd w:val="clear" w:color="auto" w:fill="auto"/>
            <w:noWrap/>
            <w:vAlign w:val="bottom"/>
            <w:hideMark/>
          </w:tcPr>
          <w:p w14:paraId="77ADF79B" w14:textId="77777777" w:rsidR="00515E4B" w:rsidRPr="004149B6" w:rsidRDefault="00515E4B" w:rsidP="00C77B6D">
            <w:pPr>
              <w:spacing w:after="0" w:line="240" w:lineRule="auto"/>
              <w:rPr>
                <w:rFonts w:eastAsia="Times New Roman" w:cs="Arial"/>
                <w:color w:val="000000"/>
              </w:rPr>
            </w:pPr>
            <w:r w:rsidRPr="004149B6">
              <w:rPr>
                <w:rFonts w:eastAsia="Times New Roman" w:cs="Arial"/>
                <w:color w:val="000000"/>
              </w:rPr>
              <w:t>Perception of audits versus inspection</w:t>
            </w:r>
          </w:p>
        </w:tc>
        <w:tc>
          <w:tcPr>
            <w:tcW w:w="1451" w:type="dxa"/>
            <w:tcBorders>
              <w:top w:val="nil"/>
              <w:left w:val="nil"/>
              <w:bottom w:val="nil"/>
              <w:right w:val="single" w:sz="4" w:space="0" w:color="auto"/>
            </w:tcBorders>
            <w:shd w:val="clear" w:color="auto" w:fill="auto"/>
            <w:noWrap/>
            <w:vAlign w:val="bottom"/>
            <w:hideMark/>
          </w:tcPr>
          <w:p w14:paraId="68010000" w14:textId="77777777" w:rsidR="00515E4B" w:rsidRPr="004149B6" w:rsidRDefault="00515E4B" w:rsidP="00C77B6D">
            <w:pPr>
              <w:spacing w:after="0" w:line="240" w:lineRule="auto"/>
              <w:jc w:val="center"/>
              <w:rPr>
                <w:rFonts w:eastAsia="Times New Roman" w:cs="Arial"/>
                <w:color w:val="000000"/>
              </w:rPr>
            </w:pPr>
            <w:r>
              <w:rPr>
                <w:rFonts w:eastAsia="Times New Roman" w:cs="Arial"/>
                <w:color w:val="000000"/>
              </w:rPr>
              <w:t xml:space="preserve">(1) </w:t>
            </w:r>
            <w:r w:rsidRPr="004149B6">
              <w:rPr>
                <w:rFonts w:eastAsia="Times New Roman" w:cs="Arial"/>
                <w:color w:val="000000"/>
              </w:rPr>
              <w:t>2%</w:t>
            </w:r>
          </w:p>
        </w:tc>
        <w:tc>
          <w:tcPr>
            <w:tcW w:w="1738" w:type="dxa"/>
            <w:tcBorders>
              <w:top w:val="nil"/>
              <w:left w:val="nil"/>
              <w:bottom w:val="single" w:sz="4" w:space="0" w:color="auto"/>
              <w:right w:val="single" w:sz="4" w:space="0" w:color="auto"/>
            </w:tcBorders>
            <w:shd w:val="clear" w:color="auto" w:fill="auto"/>
            <w:noWrap/>
            <w:vAlign w:val="bottom"/>
            <w:hideMark/>
          </w:tcPr>
          <w:p w14:paraId="0969E23C" w14:textId="77777777" w:rsidR="00515E4B" w:rsidRPr="004149B6" w:rsidRDefault="00515E4B" w:rsidP="00C77B6D">
            <w:pPr>
              <w:spacing w:after="0" w:line="240" w:lineRule="auto"/>
              <w:jc w:val="center"/>
              <w:rPr>
                <w:rFonts w:eastAsia="Times New Roman" w:cs="Arial"/>
                <w:color w:val="000000"/>
              </w:rPr>
            </w:pPr>
            <w:r w:rsidRPr="004149B6">
              <w:rPr>
                <w:rFonts w:eastAsia="Times New Roman" w:cs="Arial"/>
                <w:color w:val="000000"/>
              </w:rPr>
              <w:t>-</w:t>
            </w:r>
          </w:p>
        </w:tc>
        <w:tc>
          <w:tcPr>
            <w:tcW w:w="1523" w:type="dxa"/>
            <w:tcBorders>
              <w:top w:val="nil"/>
              <w:left w:val="nil"/>
              <w:bottom w:val="single" w:sz="4" w:space="0" w:color="auto"/>
              <w:right w:val="single" w:sz="4" w:space="0" w:color="auto"/>
            </w:tcBorders>
            <w:shd w:val="clear" w:color="auto" w:fill="auto"/>
            <w:noWrap/>
            <w:vAlign w:val="bottom"/>
            <w:hideMark/>
          </w:tcPr>
          <w:p w14:paraId="3E18D04B" w14:textId="77777777" w:rsidR="00515E4B" w:rsidRPr="004149B6" w:rsidRDefault="00515E4B" w:rsidP="00C77B6D">
            <w:pPr>
              <w:spacing w:after="0" w:line="240" w:lineRule="auto"/>
              <w:jc w:val="center"/>
              <w:rPr>
                <w:rFonts w:eastAsia="Times New Roman" w:cs="Arial"/>
                <w:color w:val="000000"/>
              </w:rPr>
            </w:pPr>
            <w:r>
              <w:rPr>
                <w:rFonts w:eastAsia="Times New Roman" w:cs="Arial"/>
                <w:color w:val="000000"/>
              </w:rPr>
              <w:t xml:space="preserve">(1) </w:t>
            </w:r>
            <w:r w:rsidRPr="004149B6">
              <w:rPr>
                <w:rFonts w:eastAsia="Times New Roman" w:cs="Arial"/>
                <w:color w:val="000000"/>
              </w:rPr>
              <w:t>4%</w:t>
            </w:r>
          </w:p>
        </w:tc>
      </w:tr>
      <w:tr w:rsidR="00515E4B" w:rsidRPr="004149B6" w14:paraId="7B340C6D" w14:textId="77777777" w:rsidTr="00C77B6D">
        <w:trPr>
          <w:trHeight w:val="226"/>
        </w:trPr>
        <w:tc>
          <w:tcPr>
            <w:tcW w:w="4677" w:type="dxa"/>
            <w:vMerge w:val="restart"/>
            <w:tcBorders>
              <w:top w:val="nil"/>
              <w:left w:val="nil"/>
              <w:right w:val="nil"/>
            </w:tcBorders>
            <w:shd w:val="clear" w:color="auto" w:fill="auto"/>
            <w:noWrap/>
            <w:vAlign w:val="bottom"/>
            <w:hideMark/>
          </w:tcPr>
          <w:p w14:paraId="49068B82" w14:textId="55FB5D4B" w:rsidR="00515E4B" w:rsidRPr="00A10767" w:rsidRDefault="00515E4B" w:rsidP="00A10767">
            <w:pPr>
              <w:spacing w:after="0" w:line="240" w:lineRule="auto"/>
              <w:rPr>
                <w:rFonts w:eastAsia="Times New Roman" w:cs="Arial"/>
                <w:b/>
                <w:i/>
                <w:color w:val="000000"/>
                <w:sz w:val="20"/>
              </w:rPr>
            </w:pPr>
            <w:r w:rsidRPr="00A10767">
              <w:rPr>
                <w:rFonts w:eastAsia="Times New Roman" w:cs="Arial"/>
                <w:b/>
                <w:i/>
                <w:color w:val="000000"/>
                <w:sz w:val="20"/>
              </w:rPr>
              <w:t xml:space="preserve">Table </w:t>
            </w:r>
            <w:r w:rsidR="00A10767" w:rsidRPr="00A10767">
              <w:rPr>
                <w:rFonts w:eastAsia="Times New Roman" w:cs="Arial"/>
                <w:b/>
                <w:i/>
                <w:color w:val="000000"/>
                <w:sz w:val="20"/>
              </w:rPr>
              <w:t>4</w:t>
            </w:r>
            <w:r w:rsidR="001A6C24">
              <w:rPr>
                <w:rFonts w:eastAsia="Times New Roman" w:cs="Arial"/>
                <w:b/>
                <w:i/>
                <w:color w:val="000000"/>
                <w:sz w:val="20"/>
              </w:rPr>
              <w:t>. Respondent T</w:t>
            </w:r>
            <w:r w:rsidRPr="00A10767">
              <w:rPr>
                <w:rFonts w:eastAsia="Times New Roman" w:cs="Arial"/>
                <w:b/>
                <w:i/>
                <w:color w:val="000000"/>
                <w:sz w:val="20"/>
              </w:rPr>
              <w:t>hem</w:t>
            </w:r>
            <w:r w:rsidR="001A6C24">
              <w:rPr>
                <w:rFonts w:eastAsia="Times New Roman" w:cs="Arial"/>
                <w:b/>
                <w:i/>
                <w:color w:val="000000"/>
                <w:sz w:val="20"/>
              </w:rPr>
              <w:t>es to “What did you learn?” by Role in Produce Safety C</w:t>
            </w:r>
            <w:r w:rsidRPr="00A10767">
              <w:rPr>
                <w:rFonts w:eastAsia="Times New Roman" w:cs="Arial"/>
                <w:b/>
                <w:i/>
                <w:color w:val="000000"/>
                <w:sz w:val="20"/>
              </w:rPr>
              <w:t>ommunity.</w:t>
            </w:r>
            <w:r w:rsidR="00C35D39">
              <w:rPr>
                <w:rFonts w:eastAsia="Times New Roman" w:cs="Arial"/>
                <w:b/>
                <w:i/>
                <w:color w:val="000000"/>
                <w:sz w:val="20"/>
              </w:rPr>
              <w:t xml:space="preserve">    </w:t>
            </w:r>
            <w:r w:rsidR="00566668">
              <w:rPr>
                <w:rFonts w:eastAsia="Times New Roman" w:cs="Arial"/>
                <w:b/>
                <w:i/>
                <w:color w:val="000000"/>
                <w:sz w:val="20"/>
              </w:rPr>
              <w:t xml:space="preserve">   </w:t>
            </w:r>
            <w:r w:rsidRPr="00A10767">
              <w:rPr>
                <w:rFonts w:eastAsia="Times New Roman" w:cs="Arial"/>
                <w:b/>
                <w:i/>
                <w:color w:val="000000"/>
                <w:sz w:val="20"/>
              </w:rPr>
              <w:t xml:space="preserve">2019 NECAFS Annual Conference and Meeting. </w:t>
            </w:r>
          </w:p>
        </w:tc>
        <w:tc>
          <w:tcPr>
            <w:tcW w:w="1451" w:type="dxa"/>
            <w:tcBorders>
              <w:top w:val="single" w:sz="4" w:space="0" w:color="auto"/>
              <w:left w:val="nil"/>
              <w:bottom w:val="nil"/>
              <w:right w:val="nil"/>
            </w:tcBorders>
            <w:shd w:val="clear" w:color="auto" w:fill="auto"/>
            <w:noWrap/>
            <w:vAlign w:val="bottom"/>
            <w:hideMark/>
          </w:tcPr>
          <w:p w14:paraId="1B22E18E" w14:textId="77777777" w:rsidR="00515E4B" w:rsidRPr="004149B6" w:rsidRDefault="00515E4B" w:rsidP="00C77B6D">
            <w:pPr>
              <w:spacing w:after="0" w:line="240" w:lineRule="auto"/>
              <w:jc w:val="center"/>
              <w:rPr>
                <w:rFonts w:eastAsia="Times New Roman" w:cs="Arial"/>
                <w:color w:val="000000"/>
              </w:rPr>
            </w:pPr>
            <w:r w:rsidRPr="004149B6">
              <w:rPr>
                <w:rFonts w:eastAsia="Times New Roman" w:cs="Arial"/>
                <w:color w:val="000000"/>
              </w:rPr>
              <w:t> </w:t>
            </w:r>
          </w:p>
        </w:tc>
        <w:tc>
          <w:tcPr>
            <w:tcW w:w="1738" w:type="dxa"/>
            <w:tcBorders>
              <w:top w:val="nil"/>
              <w:left w:val="nil"/>
              <w:bottom w:val="nil"/>
              <w:right w:val="nil"/>
            </w:tcBorders>
            <w:shd w:val="clear" w:color="auto" w:fill="auto"/>
            <w:noWrap/>
            <w:vAlign w:val="bottom"/>
            <w:hideMark/>
          </w:tcPr>
          <w:p w14:paraId="2433CA92" w14:textId="77777777" w:rsidR="00515E4B" w:rsidRPr="004149B6" w:rsidRDefault="00515E4B" w:rsidP="00C77B6D">
            <w:pPr>
              <w:spacing w:after="0" w:line="240" w:lineRule="auto"/>
              <w:jc w:val="center"/>
              <w:rPr>
                <w:rFonts w:eastAsia="Times New Roman" w:cs="Arial"/>
                <w:color w:val="000000"/>
              </w:rPr>
            </w:pPr>
          </w:p>
        </w:tc>
        <w:tc>
          <w:tcPr>
            <w:tcW w:w="1523" w:type="dxa"/>
            <w:tcBorders>
              <w:top w:val="nil"/>
              <w:left w:val="nil"/>
              <w:bottom w:val="nil"/>
              <w:right w:val="nil"/>
            </w:tcBorders>
            <w:shd w:val="clear" w:color="auto" w:fill="auto"/>
            <w:noWrap/>
            <w:vAlign w:val="bottom"/>
            <w:hideMark/>
          </w:tcPr>
          <w:p w14:paraId="71EF0F8A" w14:textId="77777777" w:rsidR="00515E4B" w:rsidRPr="004149B6" w:rsidRDefault="00515E4B" w:rsidP="00C77B6D">
            <w:pPr>
              <w:spacing w:after="0" w:line="240" w:lineRule="auto"/>
              <w:rPr>
                <w:rFonts w:eastAsia="Times New Roman" w:cs="Times New Roman"/>
              </w:rPr>
            </w:pPr>
          </w:p>
        </w:tc>
      </w:tr>
      <w:tr w:rsidR="00515E4B" w:rsidRPr="004149B6" w14:paraId="4F6D1EAB" w14:textId="77777777" w:rsidTr="00C77B6D">
        <w:trPr>
          <w:trHeight w:val="247"/>
        </w:trPr>
        <w:tc>
          <w:tcPr>
            <w:tcW w:w="4677" w:type="dxa"/>
            <w:vMerge/>
            <w:tcBorders>
              <w:left w:val="nil"/>
              <w:right w:val="nil"/>
            </w:tcBorders>
            <w:shd w:val="clear" w:color="auto" w:fill="auto"/>
            <w:noWrap/>
            <w:vAlign w:val="bottom"/>
            <w:hideMark/>
          </w:tcPr>
          <w:p w14:paraId="16CDB600" w14:textId="77777777" w:rsidR="00515E4B" w:rsidRPr="00A10767" w:rsidRDefault="00515E4B" w:rsidP="00C77B6D">
            <w:pPr>
              <w:spacing w:after="0" w:line="240" w:lineRule="auto"/>
              <w:rPr>
                <w:rFonts w:eastAsia="Times New Roman" w:cs="Times New Roman"/>
                <w:sz w:val="20"/>
              </w:rPr>
            </w:pPr>
          </w:p>
        </w:tc>
        <w:tc>
          <w:tcPr>
            <w:tcW w:w="1451" w:type="dxa"/>
            <w:tcBorders>
              <w:top w:val="nil"/>
              <w:left w:val="nil"/>
              <w:bottom w:val="nil"/>
              <w:right w:val="nil"/>
            </w:tcBorders>
            <w:shd w:val="clear" w:color="auto" w:fill="auto"/>
            <w:noWrap/>
            <w:vAlign w:val="bottom"/>
            <w:hideMark/>
          </w:tcPr>
          <w:p w14:paraId="6CCBCFFA" w14:textId="77777777" w:rsidR="00515E4B" w:rsidRPr="004149B6" w:rsidRDefault="00515E4B" w:rsidP="00C77B6D">
            <w:pPr>
              <w:spacing w:after="0" w:line="240" w:lineRule="auto"/>
              <w:jc w:val="center"/>
              <w:rPr>
                <w:rFonts w:eastAsia="Times New Roman" w:cs="Arial"/>
                <w:b/>
                <w:bCs/>
                <w:color w:val="000000"/>
              </w:rPr>
            </w:pPr>
            <w:r w:rsidRPr="004149B6">
              <w:rPr>
                <w:rFonts w:eastAsia="Times New Roman" w:cs="Arial"/>
                <w:b/>
                <w:bCs/>
                <w:color w:val="000000"/>
              </w:rPr>
              <w:t>Key</w:t>
            </w:r>
          </w:p>
        </w:tc>
        <w:tc>
          <w:tcPr>
            <w:tcW w:w="1738"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61F68994" w14:textId="77777777" w:rsidR="00515E4B" w:rsidRPr="004149B6" w:rsidRDefault="00515E4B" w:rsidP="00C77B6D">
            <w:pPr>
              <w:spacing w:after="0" w:line="240" w:lineRule="auto"/>
              <w:jc w:val="center"/>
              <w:rPr>
                <w:rFonts w:eastAsia="Times New Roman" w:cs="Arial"/>
                <w:color w:val="000000"/>
              </w:rPr>
            </w:pPr>
            <w:r w:rsidRPr="004149B6">
              <w:rPr>
                <w:rFonts w:eastAsia="Times New Roman" w:cs="Arial"/>
                <w:color w:val="000000"/>
              </w:rPr>
              <w:t>1st ranking</w:t>
            </w:r>
          </w:p>
        </w:tc>
        <w:tc>
          <w:tcPr>
            <w:tcW w:w="1523" w:type="dxa"/>
            <w:tcBorders>
              <w:top w:val="single" w:sz="4" w:space="0" w:color="auto"/>
              <w:left w:val="nil"/>
              <w:bottom w:val="single" w:sz="4" w:space="0" w:color="auto"/>
              <w:right w:val="single" w:sz="4" w:space="0" w:color="auto"/>
            </w:tcBorders>
            <w:shd w:val="clear" w:color="000000" w:fill="E2EFDA"/>
            <w:noWrap/>
            <w:vAlign w:val="bottom"/>
            <w:hideMark/>
          </w:tcPr>
          <w:p w14:paraId="4A08D200" w14:textId="77777777" w:rsidR="00515E4B" w:rsidRPr="004149B6" w:rsidRDefault="00515E4B" w:rsidP="00C77B6D">
            <w:pPr>
              <w:spacing w:after="0" w:line="240" w:lineRule="auto"/>
              <w:jc w:val="center"/>
              <w:rPr>
                <w:rFonts w:eastAsia="Times New Roman" w:cs="Arial"/>
                <w:color w:val="000000"/>
              </w:rPr>
            </w:pPr>
            <w:r w:rsidRPr="004149B6">
              <w:rPr>
                <w:rFonts w:eastAsia="Times New Roman" w:cs="Arial"/>
                <w:color w:val="000000"/>
              </w:rPr>
              <w:t>1st ranking</w:t>
            </w:r>
          </w:p>
        </w:tc>
      </w:tr>
      <w:tr w:rsidR="00515E4B" w:rsidRPr="004149B6" w14:paraId="7B4CDE5F" w14:textId="77777777" w:rsidTr="00C77B6D">
        <w:trPr>
          <w:trHeight w:val="226"/>
        </w:trPr>
        <w:tc>
          <w:tcPr>
            <w:tcW w:w="4677" w:type="dxa"/>
            <w:vMerge/>
            <w:tcBorders>
              <w:left w:val="nil"/>
              <w:bottom w:val="nil"/>
              <w:right w:val="nil"/>
            </w:tcBorders>
            <w:shd w:val="clear" w:color="auto" w:fill="auto"/>
            <w:noWrap/>
            <w:vAlign w:val="bottom"/>
            <w:hideMark/>
          </w:tcPr>
          <w:p w14:paraId="283E69B4" w14:textId="77777777" w:rsidR="00515E4B" w:rsidRPr="00A10767" w:rsidRDefault="00515E4B" w:rsidP="00C77B6D">
            <w:pPr>
              <w:spacing w:after="0" w:line="240" w:lineRule="auto"/>
              <w:jc w:val="center"/>
              <w:rPr>
                <w:rFonts w:eastAsia="Times New Roman" w:cs="Arial"/>
                <w:color w:val="000000"/>
                <w:sz w:val="20"/>
              </w:rPr>
            </w:pPr>
          </w:p>
        </w:tc>
        <w:tc>
          <w:tcPr>
            <w:tcW w:w="1451" w:type="dxa"/>
            <w:tcBorders>
              <w:top w:val="nil"/>
              <w:left w:val="nil"/>
              <w:bottom w:val="nil"/>
              <w:right w:val="nil"/>
            </w:tcBorders>
            <w:shd w:val="clear" w:color="auto" w:fill="auto"/>
            <w:noWrap/>
            <w:vAlign w:val="bottom"/>
            <w:hideMark/>
          </w:tcPr>
          <w:p w14:paraId="7D69E139" w14:textId="77777777" w:rsidR="00515E4B" w:rsidRPr="004149B6" w:rsidRDefault="00515E4B" w:rsidP="00C77B6D">
            <w:pPr>
              <w:spacing w:after="0" w:line="240" w:lineRule="auto"/>
              <w:rPr>
                <w:rFonts w:eastAsia="Times New Roman" w:cs="Times New Roman"/>
              </w:rPr>
            </w:pPr>
          </w:p>
        </w:tc>
        <w:tc>
          <w:tcPr>
            <w:tcW w:w="1738" w:type="dxa"/>
            <w:tcBorders>
              <w:top w:val="nil"/>
              <w:left w:val="single" w:sz="4" w:space="0" w:color="auto"/>
              <w:bottom w:val="single" w:sz="4" w:space="0" w:color="auto"/>
              <w:right w:val="single" w:sz="4" w:space="0" w:color="auto"/>
            </w:tcBorders>
            <w:shd w:val="clear" w:color="000000" w:fill="FFF2CC"/>
            <w:noWrap/>
            <w:vAlign w:val="bottom"/>
            <w:hideMark/>
          </w:tcPr>
          <w:p w14:paraId="61F248CF" w14:textId="77777777" w:rsidR="00515E4B" w:rsidRPr="004149B6" w:rsidRDefault="00515E4B" w:rsidP="00C77B6D">
            <w:pPr>
              <w:spacing w:after="0" w:line="240" w:lineRule="auto"/>
              <w:jc w:val="center"/>
              <w:rPr>
                <w:rFonts w:eastAsia="Times New Roman" w:cs="Arial"/>
                <w:color w:val="000000"/>
              </w:rPr>
            </w:pPr>
            <w:r w:rsidRPr="004149B6">
              <w:rPr>
                <w:rFonts w:eastAsia="Times New Roman" w:cs="Arial"/>
                <w:color w:val="000000"/>
              </w:rPr>
              <w:t>2nd ranking</w:t>
            </w:r>
          </w:p>
        </w:tc>
        <w:tc>
          <w:tcPr>
            <w:tcW w:w="1523" w:type="dxa"/>
            <w:tcBorders>
              <w:top w:val="nil"/>
              <w:left w:val="nil"/>
              <w:bottom w:val="single" w:sz="4" w:space="0" w:color="auto"/>
              <w:right w:val="single" w:sz="4" w:space="0" w:color="auto"/>
            </w:tcBorders>
            <w:shd w:val="clear" w:color="000000" w:fill="FFF2CC"/>
            <w:noWrap/>
            <w:vAlign w:val="bottom"/>
            <w:hideMark/>
          </w:tcPr>
          <w:p w14:paraId="26E005D7" w14:textId="77777777" w:rsidR="00515E4B" w:rsidRPr="004149B6" w:rsidRDefault="00515E4B" w:rsidP="00C77B6D">
            <w:pPr>
              <w:spacing w:after="0" w:line="240" w:lineRule="auto"/>
              <w:jc w:val="center"/>
              <w:rPr>
                <w:rFonts w:eastAsia="Times New Roman" w:cs="Arial"/>
                <w:color w:val="000000"/>
              </w:rPr>
            </w:pPr>
            <w:r w:rsidRPr="004149B6">
              <w:rPr>
                <w:rFonts w:eastAsia="Times New Roman" w:cs="Arial"/>
                <w:color w:val="000000"/>
              </w:rPr>
              <w:t>2nd ranking</w:t>
            </w:r>
          </w:p>
        </w:tc>
      </w:tr>
      <w:tr w:rsidR="00515E4B" w:rsidRPr="004149B6" w14:paraId="6F9E2607" w14:textId="77777777" w:rsidTr="001A6C24">
        <w:trPr>
          <w:trHeight w:val="226"/>
        </w:trPr>
        <w:tc>
          <w:tcPr>
            <w:tcW w:w="4677" w:type="dxa"/>
            <w:tcBorders>
              <w:top w:val="nil"/>
              <w:left w:val="nil"/>
              <w:bottom w:val="nil"/>
              <w:right w:val="nil"/>
            </w:tcBorders>
            <w:shd w:val="clear" w:color="auto" w:fill="auto"/>
            <w:noWrap/>
            <w:vAlign w:val="bottom"/>
            <w:hideMark/>
          </w:tcPr>
          <w:p w14:paraId="4EFBD779" w14:textId="77777777" w:rsidR="00515E4B" w:rsidRPr="00A10767" w:rsidRDefault="00515E4B" w:rsidP="00C77B6D">
            <w:pPr>
              <w:spacing w:after="0" w:line="240" w:lineRule="auto"/>
              <w:jc w:val="center"/>
              <w:rPr>
                <w:rFonts w:eastAsia="Times New Roman" w:cs="Arial"/>
                <w:color w:val="000000"/>
                <w:sz w:val="20"/>
              </w:rPr>
            </w:pPr>
          </w:p>
        </w:tc>
        <w:tc>
          <w:tcPr>
            <w:tcW w:w="1451" w:type="dxa"/>
            <w:tcBorders>
              <w:top w:val="nil"/>
              <w:left w:val="nil"/>
              <w:bottom w:val="nil"/>
              <w:right w:val="nil"/>
            </w:tcBorders>
            <w:shd w:val="clear" w:color="auto" w:fill="auto"/>
            <w:noWrap/>
            <w:vAlign w:val="bottom"/>
            <w:hideMark/>
          </w:tcPr>
          <w:p w14:paraId="2E862BA1" w14:textId="77777777" w:rsidR="00515E4B" w:rsidRPr="004149B6" w:rsidRDefault="00515E4B" w:rsidP="00C77B6D">
            <w:pPr>
              <w:spacing w:after="0" w:line="240" w:lineRule="auto"/>
              <w:rPr>
                <w:rFonts w:eastAsia="Times New Roman" w:cs="Times New Roman"/>
              </w:rPr>
            </w:pPr>
          </w:p>
        </w:tc>
        <w:tc>
          <w:tcPr>
            <w:tcW w:w="1738" w:type="dxa"/>
            <w:tcBorders>
              <w:top w:val="nil"/>
              <w:left w:val="single" w:sz="4" w:space="0" w:color="auto"/>
              <w:bottom w:val="single" w:sz="4" w:space="0" w:color="auto"/>
              <w:right w:val="single" w:sz="4" w:space="0" w:color="auto"/>
            </w:tcBorders>
            <w:shd w:val="clear" w:color="auto" w:fill="DFC9EF"/>
            <w:noWrap/>
            <w:vAlign w:val="bottom"/>
            <w:hideMark/>
          </w:tcPr>
          <w:p w14:paraId="6C447DD4" w14:textId="77777777" w:rsidR="00515E4B" w:rsidRPr="004149B6" w:rsidRDefault="00515E4B" w:rsidP="00C77B6D">
            <w:pPr>
              <w:spacing w:after="0" w:line="240" w:lineRule="auto"/>
              <w:jc w:val="center"/>
              <w:rPr>
                <w:rFonts w:eastAsia="Times New Roman" w:cs="Arial"/>
                <w:color w:val="000000"/>
              </w:rPr>
            </w:pPr>
            <w:r w:rsidRPr="004149B6">
              <w:rPr>
                <w:rFonts w:eastAsia="Times New Roman" w:cs="Arial"/>
                <w:color w:val="000000"/>
              </w:rPr>
              <w:t>3rd ranking</w:t>
            </w:r>
          </w:p>
        </w:tc>
        <w:tc>
          <w:tcPr>
            <w:tcW w:w="1523" w:type="dxa"/>
            <w:tcBorders>
              <w:top w:val="nil"/>
              <w:left w:val="nil"/>
              <w:bottom w:val="single" w:sz="4" w:space="0" w:color="auto"/>
              <w:right w:val="single" w:sz="4" w:space="0" w:color="auto"/>
            </w:tcBorders>
            <w:shd w:val="clear" w:color="auto" w:fill="DFC9EF"/>
            <w:noWrap/>
            <w:vAlign w:val="bottom"/>
            <w:hideMark/>
          </w:tcPr>
          <w:p w14:paraId="1A9C0CA7" w14:textId="77777777" w:rsidR="00515E4B" w:rsidRPr="004149B6" w:rsidRDefault="00515E4B" w:rsidP="00C77B6D">
            <w:pPr>
              <w:spacing w:after="0" w:line="240" w:lineRule="auto"/>
              <w:jc w:val="center"/>
              <w:rPr>
                <w:rFonts w:eastAsia="Times New Roman" w:cs="Arial"/>
                <w:color w:val="000000"/>
              </w:rPr>
            </w:pPr>
            <w:r w:rsidRPr="004149B6">
              <w:rPr>
                <w:rFonts w:eastAsia="Times New Roman" w:cs="Arial"/>
                <w:color w:val="000000"/>
              </w:rPr>
              <w:t>3rd ranking</w:t>
            </w:r>
          </w:p>
        </w:tc>
      </w:tr>
    </w:tbl>
    <w:p w14:paraId="3D655E51" w14:textId="77777777" w:rsidR="009F333E" w:rsidRDefault="009F333E" w:rsidP="00515E4B"/>
    <w:p w14:paraId="042C73EB" w14:textId="20CC8744" w:rsidR="00515E4B" w:rsidRDefault="00515E4B" w:rsidP="00515E4B">
      <w:pPr>
        <w:rPr>
          <w:szCs w:val="32"/>
        </w:rPr>
      </w:pPr>
      <w:r>
        <w:rPr>
          <w:szCs w:val="32"/>
        </w:rPr>
        <w:t xml:space="preserve">When looking at the data from the 2018 NECAFS Annual Conference and Meeting summary evaluation responses, </w:t>
      </w:r>
      <w:r w:rsidR="00145E0A">
        <w:rPr>
          <w:szCs w:val="32"/>
        </w:rPr>
        <w:t>there is not the same</w:t>
      </w:r>
      <w:r>
        <w:rPr>
          <w:szCs w:val="32"/>
        </w:rPr>
        <w:t xml:space="preserve"> alignment of themes by role.</w:t>
      </w:r>
      <w:r w:rsidR="00C35D39">
        <w:rPr>
          <w:szCs w:val="32"/>
        </w:rPr>
        <w:t xml:space="preserve"> </w:t>
      </w:r>
      <w:r>
        <w:rPr>
          <w:szCs w:val="32"/>
        </w:rPr>
        <w:t>Instead, the responses are more evenly distributed across both the entire group and within t</w:t>
      </w:r>
      <w:r w:rsidR="009F333E">
        <w:rPr>
          <w:szCs w:val="32"/>
        </w:rPr>
        <w:t>he sub-grouping by role (</w:t>
      </w:r>
      <w:r w:rsidR="009F333E" w:rsidRPr="009F333E">
        <w:rPr>
          <w:b/>
          <w:szCs w:val="32"/>
        </w:rPr>
        <w:t>Table 5</w:t>
      </w:r>
      <w:r w:rsidRPr="009F333E">
        <w:rPr>
          <w:b/>
          <w:szCs w:val="32"/>
        </w:rPr>
        <w:t>.</w:t>
      </w:r>
      <w:r>
        <w:rPr>
          <w:szCs w:val="32"/>
        </w:rPr>
        <w:t>).</w:t>
      </w:r>
      <w:r w:rsidR="00C35D39">
        <w:rPr>
          <w:szCs w:val="32"/>
        </w:rPr>
        <w:t xml:space="preserve"> </w:t>
      </w:r>
    </w:p>
    <w:tbl>
      <w:tblPr>
        <w:tblW w:w="9350" w:type="dxa"/>
        <w:tblLook w:val="04A0" w:firstRow="1" w:lastRow="0" w:firstColumn="1" w:lastColumn="0" w:noHBand="0" w:noVBand="1"/>
      </w:tblPr>
      <w:tblGrid>
        <w:gridCol w:w="4651"/>
        <w:gridCol w:w="1461"/>
        <w:gridCol w:w="1713"/>
        <w:gridCol w:w="1525"/>
      </w:tblGrid>
      <w:tr w:rsidR="00515E4B" w:rsidRPr="005C34F9" w14:paraId="1FF68B1E" w14:textId="77777777" w:rsidTr="00C77B6D">
        <w:trPr>
          <w:trHeight w:val="540"/>
        </w:trPr>
        <w:tc>
          <w:tcPr>
            <w:tcW w:w="46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7A9D5" w14:textId="77777777" w:rsidR="00515E4B" w:rsidRPr="005C34F9" w:rsidRDefault="00515E4B" w:rsidP="00C77B6D">
            <w:pPr>
              <w:spacing w:after="0" w:line="240" w:lineRule="auto"/>
              <w:rPr>
                <w:rFonts w:eastAsia="Times New Roman" w:cstheme="minorHAnsi"/>
                <w:b/>
                <w:bCs/>
                <w:color w:val="000000"/>
              </w:rPr>
            </w:pPr>
            <w:r>
              <w:rPr>
                <w:rFonts w:eastAsia="Times New Roman" w:cstheme="minorHAnsi"/>
                <w:b/>
                <w:bCs/>
                <w:color w:val="000000"/>
              </w:rPr>
              <w:t xml:space="preserve">2018 </w:t>
            </w:r>
            <w:r w:rsidRPr="005C34F9">
              <w:rPr>
                <w:rFonts w:eastAsia="Times New Roman" w:cstheme="minorHAnsi"/>
                <w:b/>
                <w:bCs/>
                <w:color w:val="000000"/>
              </w:rPr>
              <w:t>Themes: “What did you learn?”</w:t>
            </w:r>
          </w:p>
        </w:tc>
        <w:tc>
          <w:tcPr>
            <w:tcW w:w="1461" w:type="dxa"/>
            <w:tcBorders>
              <w:top w:val="single" w:sz="4" w:space="0" w:color="auto"/>
              <w:left w:val="nil"/>
              <w:bottom w:val="single" w:sz="4" w:space="0" w:color="auto"/>
              <w:right w:val="single" w:sz="4" w:space="0" w:color="auto"/>
            </w:tcBorders>
            <w:shd w:val="clear" w:color="auto" w:fill="auto"/>
            <w:vAlign w:val="bottom"/>
            <w:hideMark/>
          </w:tcPr>
          <w:p w14:paraId="7BEB1157" w14:textId="313B6E58" w:rsidR="00515E4B" w:rsidRPr="005C34F9" w:rsidRDefault="00515E4B" w:rsidP="00C77B6D">
            <w:pPr>
              <w:spacing w:after="0" w:line="240" w:lineRule="auto"/>
              <w:jc w:val="center"/>
              <w:rPr>
                <w:rFonts w:eastAsia="Times New Roman" w:cstheme="minorHAnsi"/>
                <w:b/>
                <w:bCs/>
                <w:color w:val="000000"/>
              </w:rPr>
            </w:pPr>
            <w:r w:rsidRPr="005C34F9">
              <w:rPr>
                <w:rFonts w:eastAsia="Times New Roman" w:cstheme="minorHAnsi"/>
                <w:b/>
                <w:bCs/>
                <w:color w:val="000000"/>
              </w:rPr>
              <w:t>Total Attendee</w:t>
            </w:r>
            <w:r w:rsidR="008A64F8">
              <w:rPr>
                <w:rFonts w:eastAsia="Times New Roman" w:cstheme="minorHAnsi"/>
                <w:b/>
                <w:bCs/>
                <w:color w:val="000000"/>
              </w:rPr>
              <w:t xml:space="preserve"> (N)</w:t>
            </w:r>
          </w:p>
        </w:tc>
        <w:tc>
          <w:tcPr>
            <w:tcW w:w="1713" w:type="dxa"/>
            <w:tcBorders>
              <w:top w:val="single" w:sz="4" w:space="0" w:color="auto"/>
              <w:left w:val="nil"/>
              <w:bottom w:val="single" w:sz="4" w:space="0" w:color="auto"/>
              <w:right w:val="single" w:sz="4" w:space="0" w:color="auto"/>
            </w:tcBorders>
            <w:shd w:val="clear" w:color="auto" w:fill="auto"/>
            <w:vAlign w:val="bottom"/>
            <w:hideMark/>
          </w:tcPr>
          <w:p w14:paraId="040522F5" w14:textId="7854312E" w:rsidR="00515E4B" w:rsidRPr="005C34F9" w:rsidRDefault="009F333E" w:rsidP="009F333E">
            <w:pPr>
              <w:spacing w:after="0" w:line="240" w:lineRule="auto"/>
              <w:jc w:val="center"/>
              <w:rPr>
                <w:rFonts w:eastAsia="Times New Roman" w:cstheme="minorHAnsi"/>
                <w:b/>
                <w:bCs/>
                <w:color w:val="000000"/>
              </w:rPr>
            </w:pPr>
            <w:r>
              <w:rPr>
                <w:rFonts w:eastAsia="Times New Roman" w:cstheme="minorHAnsi"/>
                <w:b/>
                <w:bCs/>
                <w:color w:val="000000"/>
              </w:rPr>
              <w:t>Educator</w:t>
            </w:r>
            <w:r w:rsidR="008A64F8">
              <w:rPr>
                <w:rFonts w:eastAsia="Times New Roman" w:cstheme="minorHAnsi"/>
                <w:b/>
                <w:bCs/>
                <w:color w:val="000000"/>
              </w:rPr>
              <w:t xml:space="preserve"> (N)</w:t>
            </w:r>
          </w:p>
        </w:tc>
        <w:tc>
          <w:tcPr>
            <w:tcW w:w="1525" w:type="dxa"/>
            <w:tcBorders>
              <w:top w:val="single" w:sz="4" w:space="0" w:color="auto"/>
              <w:left w:val="nil"/>
              <w:bottom w:val="single" w:sz="4" w:space="0" w:color="auto"/>
              <w:right w:val="single" w:sz="4" w:space="0" w:color="auto"/>
            </w:tcBorders>
            <w:shd w:val="clear" w:color="auto" w:fill="auto"/>
            <w:vAlign w:val="bottom"/>
            <w:hideMark/>
          </w:tcPr>
          <w:p w14:paraId="541AB74B" w14:textId="0BB8EE1F" w:rsidR="00515E4B" w:rsidRPr="005C34F9" w:rsidRDefault="009F333E" w:rsidP="009F333E">
            <w:pPr>
              <w:spacing w:after="0" w:line="240" w:lineRule="auto"/>
              <w:jc w:val="center"/>
              <w:rPr>
                <w:rFonts w:eastAsia="Times New Roman" w:cstheme="minorHAnsi"/>
                <w:b/>
                <w:bCs/>
                <w:color w:val="000000"/>
              </w:rPr>
            </w:pPr>
            <w:r>
              <w:rPr>
                <w:rFonts w:eastAsia="Times New Roman" w:cstheme="minorHAnsi"/>
                <w:b/>
                <w:bCs/>
                <w:color w:val="000000"/>
              </w:rPr>
              <w:t>Regulator</w:t>
            </w:r>
            <w:r w:rsidR="008A64F8">
              <w:rPr>
                <w:rFonts w:eastAsia="Times New Roman" w:cstheme="minorHAnsi"/>
                <w:b/>
                <w:bCs/>
                <w:color w:val="000000"/>
              </w:rPr>
              <w:t xml:space="preserve"> (N)</w:t>
            </w:r>
          </w:p>
        </w:tc>
      </w:tr>
      <w:tr w:rsidR="00515E4B" w:rsidRPr="005C34F9" w14:paraId="1BB70D13" w14:textId="77777777" w:rsidTr="00C77B6D">
        <w:trPr>
          <w:trHeight w:val="288"/>
        </w:trPr>
        <w:tc>
          <w:tcPr>
            <w:tcW w:w="4651" w:type="dxa"/>
            <w:tcBorders>
              <w:top w:val="nil"/>
              <w:left w:val="single" w:sz="4" w:space="0" w:color="auto"/>
              <w:bottom w:val="single" w:sz="4" w:space="0" w:color="auto"/>
              <w:right w:val="single" w:sz="4" w:space="0" w:color="auto"/>
            </w:tcBorders>
            <w:shd w:val="clear" w:color="auto" w:fill="auto"/>
            <w:noWrap/>
            <w:vAlign w:val="bottom"/>
            <w:hideMark/>
          </w:tcPr>
          <w:p w14:paraId="5043D3B1" w14:textId="77777777" w:rsidR="00515E4B" w:rsidRPr="005C34F9" w:rsidRDefault="00515E4B" w:rsidP="00C77B6D">
            <w:pPr>
              <w:spacing w:after="0" w:line="240" w:lineRule="auto"/>
              <w:rPr>
                <w:rFonts w:eastAsia="Times New Roman" w:cstheme="minorHAnsi"/>
                <w:color w:val="000000"/>
              </w:rPr>
            </w:pPr>
            <w:r w:rsidRPr="005C34F9">
              <w:rPr>
                <w:rFonts w:eastAsia="Times New Roman" w:cstheme="minorHAnsi"/>
                <w:color w:val="000000"/>
              </w:rPr>
              <w:t>Greater understanding of educational efforts (ex. OFRR, Add on and supplemental material development, NECAFS clearinghouse)</w:t>
            </w:r>
          </w:p>
        </w:tc>
        <w:tc>
          <w:tcPr>
            <w:tcW w:w="1461" w:type="dxa"/>
            <w:tcBorders>
              <w:top w:val="nil"/>
              <w:left w:val="nil"/>
              <w:bottom w:val="single" w:sz="4" w:space="0" w:color="auto"/>
              <w:right w:val="single" w:sz="4" w:space="0" w:color="auto"/>
            </w:tcBorders>
            <w:shd w:val="clear" w:color="auto" w:fill="auto"/>
            <w:noWrap/>
            <w:vAlign w:val="bottom"/>
            <w:hideMark/>
          </w:tcPr>
          <w:p w14:paraId="551D0651" w14:textId="77777777" w:rsidR="00515E4B" w:rsidRPr="005C34F9" w:rsidRDefault="00515E4B" w:rsidP="00C77B6D">
            <w:pPr>
              <w:spacing w:after="0" w:line="240" w:lineRule="auto"/>
              <w:jc w:val="center"/>
              <w:rPr>
                <w:rFonts w:eastAsia="Times New Roman" w:cstheme="minorHAnsi"/>
                <w:color w:val="000000"/>
              </w:rPr>
            </w:pPr>
            <w:r>
              <w:rPr>
                <w:rFonts w:eastAsia="Times New Roman" w:cstheme="minorHAnsi"/>
                <w:color w:val="000000"/>
              </w:rPr>
              <w:t xml:space="preserve">(14) </w:t>
            </w:r>
            <w:r w:rsidRPr="005C34F9">
              <w:rPr>
                <w:rFonts w:eastAsia="Times New Roman" w:cstheme="minorHAnsi"/>
                <w:color w:val="000000"/>
              </w:rPr>
              <w:t>25%</w:t>
            </w:r>
          </w:p>
        </w:tc>
        <w:tc>
          <w:tcPr>
            <w:tcW w:w="1713" w:type="dxa"/>
            <w:tcBorders>
              <w:top w:val="nil"/>
              <w:left w:val="nil"/>
              <w:bottom w:val="single" w:sz="4" w:space="0" w:color="auto"/>
              <w:right w:val="single" w:sz="4" w:space="0" w:color="auto"/>
            </w:tcBorders>
            <w:shd w:val="clear" w:color="000000" w:fill="E2EFDA"/>
            <w:noWrap/>
            <w:vAlign w:val="bottom"/>
            <w:hideMark/>
          </w:tcPr>
          <w:p w14:paraId="5588232C" w14:textId="77777777" w:rsidR="00515E4B" w:rsidRPr="005C34F9" w:rsidRDefault="00515E4B" w:rsidP="00C77B6D">
            <w:pPr>
              <w:spacing w:after="0" w:line="240" w:lineRule="auto"/>
              <w:jc w:val="center"/>
              <w:rPr>
                <w:rFonts w:eastAsia="Times New Roman" w:cstheme="minorHAnsi"/>
                <w:color w:val="000000"/>
              </w:rPr>
            </w:pPr>
            <w:r>
              <w:rPr>
                <w:rFonts w:eastAsia="Times New Roman" w:cstheme="minorHAnsi"/>
                <w:color w:val="000000"/>
              </w:rPr>
              <w:t xml:space="preserve">(5) </w:t>
            </w:r>
            <w:r w:rsidRPr="005C34F9">
              <w:rPr>
                <w:rFonts w:eastAsia="Times New Roman" w:cstheme="minorHAnsi"/>
                <w:color w:val="000000"/>
              </w:rPr>
              <w:t>26%</w:t>
            </w:r>
          </w:p>
        </w:tc>
        <w:tc>
          <w:tcPr>
            <w:tcW w:w="1525" w:type="dxa"/>
            <w:tcBorders>
              <w:top w:val="nil"/>
              <w:left w:val="nil"/>
              <w:bottom w:val="single" w:sz="4" w:space="0" w:color="auto"/>
              <w:right w:val="single" w:sz="4" w:space="0" w:color="auto"/>
            </w:tcBorders>
            <w:shd w:val="clear" w:color="000000" w:fill="FFF2CC"/>
            <w:noWrap/>
            <w:vAlign w:val="bottom"/>
            <w:hideMark/>
          </w:tcPr>
          <w:p w14:paraId="62BA2F57" w14:textId="77777777" w:rsidR="00515E4B" w:rsidRPr="005C34F9" w:rsidRDefault="00515E4B" w:rsidP="00C77B6D">
            <w:pPr>
              <w:spacing w:after="0" w:line="240" w:lineRule="auto"/>
              <w:jc w:val="center"/>
              <w:rPr>
                <w:rFonts w:eastAsia="Times New Roman" w:cstheme="minorHAnsi"/>
                <w:color w:val="000000"/>
              </w:rPr>
            </w:pPr>
            <w:r>
              <w:rPr>
                <w:rFonts w:eastAsia="Times New Roman" w:cstheme="minorHAnsi"/>
                <w:color w:val="000000"/>
              </w:rPr>
              <w:t xml:space="preserve">(2) </w:t>
            </w:r>
            <w:r w:rsidRPr="005C34F9">
              <w:rPr>
                <w:rFonts w:eastAsia="Times New Roman" w:cstheme="minorHAnsi"/>
                <w:color w:val="000000"/>
              </w:rPr>
              <w:t>17%</w:t>
            </w:r>
          </w:p>
        </w:tc>
      </w:tr>
      <w:tr w:rsidR="00515E4B" w:rsidRPr="005C34F9" w14:paraId="3ED8C24A" w14:textId="77777777" w:rsidTr="00C77B6D">
        <w:trPr>
          <w:trHeight w:val="288"/>
        </w:trPr>
        <w:tc>
          <w:tcPr>
            <w:tcW w:w="4651" w:type="dxa"/>
            <w:tcBorders>
              <w:top w:val="nil"/>
              <w:left w:val="single" w:sz="4" w:space="0" w:color="auto"/>
              <w:bottom w:val="single" w:sz="4" w:space="0" w:color="auto"/>
              <w:right w:val="single" w:sz="4" w:space="0" w:color="auto"/>
            </w:tcBorders>
            <w:shd w:val="clear" w:color="auto" w:fill="auto"/>
            <w:noWrap/>
            <w:vAlign w:val="bottom"/>
            <w:hideMark/>
          </w:tcPr>
          <w:p w14:paraId="587D5E07" w14:textId="77777777" w:rsidR="00515E4B" w:rsidRPr="005C34F9" w:rsidRDefault="00515E4B" w:rsidP="00C77B6D">
            <w:pPr>
              <w:spacing w:after="0" w:line="240" w:lineRule="auto"/>
              <w:rPr>
                <w:rFonts w:eastAsia="Times New Roman" w:cstheme="minorHAnsi"/>
                <w:color w:val="000000"/>
              </w:rPr>
            </w:pPr>
            <w:r w:rsidRPr="005C34F9">
              <w:rPr>
                <w:rFonts w:eastAsia="Times New Roman" w:cstheme="minorHAnsi"/>
                <w:color w:val="000000"/>
              </w:rPr>
              <w:t>Individual needs for growers, buyers and processors</w:t>
            </w:r>
          </w:p>
        </w:tc>
        <w:tc>
          <w:tcPr>
            <w:tcW w:w="1461" w:type="dxa"/>
            <w:tcBorders>
              <w:top w:val="nil"/>
              <w:left w:val="nil"/>
              <w:bottom w:val="single" w:sz="4" w:space="0" w:color="auto"/>
              <w:right w:val="single" w:sz="4" w:space="0" w:color="auto"/>
            </w:tcBorders>
            <w:shd w:val="clear" w:color="auto" w:fill="auto"/>
            <w:noWrap/>
            <w:vAlign w:val="bottom"/>
            <w:hideMark/>
          </w:tcPr>
          <w:p w14:paraId="5C8D215C" w14:textId="77777777" w:rsidR="00515E4B" w:rsidRPr="005C34F9" w:rsidRDefault="00515E4B" w:rsidP="00C77B6D">
            <w:pPr>
              <w:spacing w:after="0" w:line="240" w:lineRule="auto"/>
              <w:jc w:val="center"/>
              <w:rPr>
                <w:rFonts w:eastAsia="Times New Roman" w:cstheme="minorHAnsi"/>
                <w:color w:val="000000"/>
              </w:rPr>
            </w:pPr>
            <w:r>
              <w:rPr>
                <w:rFonts w:eastAsia="Times New Roman" w:cstheme="minorHAnsi"/>
                <w:color w:val="000000"/>
              </w:rPr>
              <w:t xml:space="preserve">(11) </w:t>
            </w:r>
            <w:r w:rsidRPr="005C34F9">
              <w:rPr>
                <w:rFonts w:eastAsia="Times New Roman" w:cstheme="minorHAnsi"/>
                <w:color w:val="000000"/>
              </w:rPr>
              <w:t>19%</w:t>
            </w:r>
          </w:p>
        </w:tc>
        <w:tc>
          <w:tcPr>
            <w:tcW w:w="1713" w:type="dxa"/>
            <w:tcBorders>
              <w:top w:val="nil"/>
              <w:left w:val="nil"/>
              <w:bottom w:val="single" w:sz="4" w:space="0" w:color="auto"/>
              <w:right w:val="single" w:sz="4" w:space="0" w:color="auto"/>
            </w:tcBorders>
            <w:shd w:val="clear" w:color="auto" w:fill="auto"/>
            <w:noWrap/>
            <w:vAlign w:val="bottom"/>
            <w:hideMark/>
          </w:tcPr>
          <w:p w14:paraId="2D45B910" w14:textId="77777777" w:rsidR="00515E4B" w:rsidRPr="005C34F9" w:rsidRDefault="00515E4B" w:rsidP="00C77B6D">
            <w:pPr>
              <w:spacing w:after="0" w:line="240" w:lineRule="auto"/>
              <w:jc w:val="center"/>
              <w:rPr>
                <w:rFonts w:eastAsia="Times New Roman" w:cstheme="minorHAnsi"/>
                <w:color w:val="000000"/>
              </w:rPr>
            </w:pPr>
            <w:r>
              <w:rPr>
                <w:rFonts w:eastAsia="Times New Roman" w:cstheme="minorHAnsi"/>
                <w:color w:val="000000"/>
              </w:rPr>
              <w:t>(1) 5</w:t>
            </w:r>
            <w:r w:rsidRPr="005C34F9">
              <w:rPr>
                <w:rFonts w:eastAsia="Times New Roman" w:cstheme="minorHAnsi"/>
                <w:color w:val="000000"/>
              </w:rPr>
              <w:t>%</w:t>
            </w:r>
          </w:p>
        </w:tc>
        <w:tc>
          <w:tcPr>
            <w:tcW w:w="1525" w:type="dxa"/>
            <w:tcBorders>
              <w:top w:val="nil"/>
              <w:left w:val="nil"/>
              <w:bottom w:val="single" w:sz="4" w:space="0" w:color="auto"/>
              <w:right w:val="single" w:sz="4" w:space="0" w:color="auto"/>
            </w:tcBorders>
            <w:shd w:val="clear" w:color="000000" w:fill="FFF2CC"/>
            <w:noWrap/>
            <w:vAlign w:val="bottom"/>
            <w:hideMark/>
          </w:tcPr>
          <w:p w14:paraId="66D97134" w14:textId="77777777" w:rsidR="00515E4B" w:rsidRPr="005C34F9" w:rsidRDefault="00515E4B" w:rsidP="00C77B6D">
            <w:pPr>
              <w:spacing w:after="0" w:line="240" w:lineRule="auto"/>
              <w:jc w:val="center"/>
              <w:rPr>
                <w:rFonts w:eastAsia="Times New Roman" w:cstheme="minorHAnsi"/>
                <w:color w:val="000000"/>
              </w:rPr>
            </w:pPr>
            <w:r>
              <w:rPr>
                <w:rFonts w:eastAsia="Times New Roman" w:cstheme="minorHAnsi"/>
                <w:color w:val="000000"/>
              </w:rPr>
              <w:t xml:space="preserve">(2) </w:t>
            </w:r>
            <w:r w:rsidRPr="005C34F9">
              <w:rPr>
                <w:rFonts w:eastAsia="Times New Roman" w:cstheme="minorHAnsi"/>
                <w:color w:val="000000"/>
              </w:rPr>
              <w:t>17%</w:t>
            </w:r>
          </w:p>
        </w:tc>
      </w:tr>
      <w:tr w:rsidR="00515E4B" w:rsidRPr="005C34F9" w14:paraId="76DF9572" w14:textId="77777777" w:rsidTr="00C77B6D">
        <w:trPr>
          <w:trHeight w:val="288"/>
        </w:trPr>
        <w:tc>
          <w:tcPr>
            <w:tcW w:w="4651" w:type="dxa"/>
            <w:tcBorders>
              <w:top w:val="nil"/>
              <w:left w:val="single" w:sz="4" w:space="0" w:color="auto"/>
              <w:bottom w:val="single" w:sz="4" w:space="0" w:color="auto"/>
              <w:right w:val="single" w:sz="4" w:space="0" w:color="auto"/>
            </w:tcBorders>
            <w:shd w:val="clear" w:color="auto" w:fill="auto"/>
            <w:noWrap/>
            <w:vAlign w:val="bottom"/>
            <w:hideMark/>
          </w:tcPr>
          <w:p w14:paraId="1CA26807" w14:textId="77777777" w:rsidR="00515E4B" w:rsidRPr="005C34F9" w:rsidRDefault="00515E4B" w:rsidP="00C77B6D">
            <w:pPr>
              <w:spacing w:after="0" w:line="240" w:lineRule="auto"/>
              <w:rPr>
                <w:rFonts w:eastAsia="Times New Roman" w:cstheme="minorHAnsi"/>
                <w:color w:val="000000"/>
              </w:rPr>
            </w:pPr>
            <w:r w:rsidRPr="005C34F9">
              <w:rPr>
                <w:rFonts w:eastAsia="Times New Roman" w:cstheme="minorHAnsi"/>
                <w:color w:val="000000"/>
              </w:rPr>
              <w:t>State variation in implementation of FSMA</w:t>
            </w:r>
          </w:p>
        </w:tc>
        <w:tc>
          <w:tcPr>
            <w:tcW w:w="1461" w:type="dxa"/>
            <w:tcBorders>
              <w:top w:val="nil"/>
              <w:left w:val="nil"/>
              <w:bottom w:val="single" w:sz="4" w:space="0" w:color="auto"/>
              <w:right w:val="single" w:sz="4" w:space="0" w:color="auto"/>
            </w:tcBorders>
            <w:shd w:val="clear" w:color="auto" w:fill="auto"/>
            <w:noWrap/>
            <w:vAlign w:val="bottom"/>
            <w:hideMark/>
          </w:tcPr>
          <w:p w14:paraId="1D7D9189" w14:textId="77777777" w:rsidR="00515E4B" w:rsidRPr="005C34F9" w:rsidRDefault="00515E4B" w:rsidP="00C77B6D">
            <w:pPr>
              <w:spacing w:after="0" w:line="240" w:lineRule="auto"/>
              <w:jc w:val="center"/>
              <w:rPr>
                <w:rFonts w:eastAsia="Times New Roman" w:cstheme="minorHAnsi"/>
                <w:color w:val="000000"/>
              </w:rPr>
            </w:pPr>
            <w:r>
              <w:rPr>
                <w:rFonts w:eastAsia="Times New Roman" w:cstheme="minorHAnsi"/>
                <w:color w:val="000000"/>
              </w:rPr>
              <w:t xml:space="preserve">(10) </w:t>
            </w:r>
            <w:r w:rsidRPr="005C34F9">
              <w:rPr>
                <w:rFonts w:eastAsia="Times New Roman" w:cstheme="minorHAnsi"/>
                <w:color w:val="000000"/>
              </w:rPr>
              <w:t>18%</w:t>
            </w:r>
          </w:p>
        </w:tc>
        <w:tc>
          <w:tcPr>
            <w:tcW w:w="1713" w:type="dxa"/>
            <w:tcBorders>
              <w:top w:val="nil"/>
              <w:left w:val="nil"/>
              <w:bottom w:val="single" w:sz="4" w:space="0" w:color="auto"/>
              <w:right w:val="single" w:sz="4" w:space="0" w:color="auto"/>
            </w:tcBorders>
            <w:shd w:val="clear" w:color="000000" w:fill="E2EFDA"/>
            <w:noWrap/>
            <w:vAlign w:val="bottom"/>
            <w:hideMark/>
          </w:tcPr>
          <w:p w14:paraId="75450910" w14:textId="77777777" w:rsidR="00515E4B" w:rsidRPr="005C34F9" w:rsidRDefault="00515E4B" w:rsidP="00C77B6D">
            <w:pPr>
              <w:spacing w:after="0" w:line="240" w:lineRule="auto"/>
              <w:jc w:val="center"/>
              <w:rPr>
                <w:rFonts w:eastAsia="Times New Roman" w:cstheme="minorHAnsi"/>
                <w:color w:val="000000"/>
              </w:rPr>
            </w:pPr>
            <w:r>
              <w:rPr>
                <w:rFonts w:eastAsia="Times New Roman" w:cstheme="minorHAnsi"/>
                <w:color w:val="000000"/>
              </w:rPr>
              <w:t xml:space="preserve">(5) </w:t>
            </w:r>
            <w:r w:rsidRPr="005C34F9">
              <w:rPr>
                <w:rFonts w:eastAsia="Times New Roman" w:cstheme="minorHAnsi"/>
                <w:color w:val="000000"/>
              </w:rPr>
              <w:t>26%</w:t>
            </w:r>
          </w:p>
        </w:tc>
        <w:tc>
          <w:tcPr>
            <w:tcW w:w="1525" w:type="dxa"/>
            <w:tcBorders>
              <w:top w:val="nil"/>
              <w:left w:val="nil"/>
              <w:bottom w:val="single" w:sz="4" w:space="0" w:color="auto"/>
              <w:right w:val="single" w:sz="4" w:space="0" w:color="auto"/>
            </w:tcBorders>
            <w:shd w:val="clear" w:color="auto" w:fill="auto"/>
            <w:noWrap/>
            <w:vAlign w:val="bottom"/>
            <w:hideMark/>
          </w:tcPr>
          <w:p w14:paraId="747991E9" w14:textId="77777777" w:rsidR="00515E4B" w:rsidRPr="005C34F9" w:rsidRDefault="00515E4B" w:rsidP="00C77B6D">
            <w:pPr>
              <w:spacing w:after="0" w:line="240" w:lineRule="auto"/>
              <w:jc w:val="center"/>
              <w:rPr>
                <w:rFonts w:eastAsia="Times New Roman" w:cstheme="minorHAnsi"/>
                <w:color w:val="000000"/>
              </w:rPr>
            </w:pPr>
            <w:r>
              <w:rPr>
                <w:rFonts w:eastAsia="Times New Roman" w:cstheme="minorHAnsi"/>
                <w:color w:val="000000"/>
              </w:rPr>
              <w:t xml:space="preserve">(1) </w:t>
            </w:r>
            <w:r w:rsidRPr="005C34F9">
              <w:rPr>
                <w:rFonts w:eastAsia="Times New Roman" w:cstheme="minorHAnsi"/>
                <w:color w:val="000000"/>
              </w:rPr>
              <w:t>8%</w:t>
            </w:r>
          </w:p>
        </w:tc>
      </w:tr>
      <w:tr w:rsidR="00515E4B" w:rsidRPr="005C34F9" w14:paraId="57CAF93A" w14:textId="77777777" w:rsidTr="00C77B6D">
        <w:trPr>
          <w:trHeight w:val="288"/>
        </w:trPr>
        <w:tc>
          <w:tcPr>
            <w:tcW w:w="4651" w:type="dxa"/>
            <w:tcBorders>
              <w:top w:val="nil"/>
              <w:left w:val="single" w:sz="4" w:space="0" w:color="auto"/>
              <w:bottom w:val="single" w:sz="4" w:space="0" w:color="auto"/>
              <w:right w:val="single" w:sz="4" w:space="0" w:color="auto"/>
            </w:tcBorders>
            <w:shd w:val="clear" w:color="auto" w:fill="auto"/>
            <w:noWrap/>
            <w:vAlign w:val="bottom"/>
            <w:hideMark/>
          </w:tcPr>
          <w:p w14:paraId="7A7535B7" w14:textId="77777777" w:rsidR="00515E4B" w:rsidRPr="005C34F9" w:rsidRDefault="00515E4B" w:rsidP="00C77B6D">
            <w:pPr>
              <w:spacing w:after="0" w:line="240" w:lineRule="auto"/>
              <w:rPr>
                <w:rFonts w:eastAsia="Times New Roman" w:cstheme="minorHAnsi"/>
                <w:color w:val="000000"/>
              </w:rPr>
            </w:pPr>
            <w:r w:rsidRPr="005C34F9">
              <w:rPr>
                <w:rFonts w:eastAsia="Times New Roman" w:cstheme="minorHAnsi"/>
                <w:color w:val="000000"/>
              </w:rPr>
              <w:lastRenderedPageBreak/>
              <w:t>Greater understanding of FSMA and the individual PCHF and PSR rules</w:t>
            </w:r>
          </w:p>
        </w:tc>
        <w:tc>
          <w:tcPr>
            <w:tcW w:w="1461" w:type="dxa"/>
            <w:tcBorders>
              <w:top w:val="nil"/>
              <w:left w:val="nil"/>
              <w:bottom w:val="single" w:sz="4" w:space="0" w:color="auto"/>
              <w:right w:val="single" w:sz="4" w:space="0" w:color="auto"/>
            </w:tcBorders>
            <w:shd w:val="clear" w:color="auto" w:fill="auto"/>
            <w:noWrap/>
            <w:vAlign w:val="bottom"/>
            <w:hideMark/>
          </w:tcPr>
          <w:p w14:paraId="7D9A9EB2" w14:textId="77777777" w:rsidR="00515E4B" w:rsidRPr="005C34F9" w:rsidRDefault="00515E4B" w:rsidP="00C77B6D">
            <w:pPr>
              <w:spacing w:after="0" w:line="240" w:lineRule="auto"/>
              <w:jc w:val="center"/>
              <w:rPr>
                <w:rFonts w:eastAsia="Times New Roman" w:cstheme="minorHAnsi"/>
                <w:color w:val="000000"/>
              </w:rPr>
            </w:pPr>
            <w:r>
              <w:rPr>
                <w:rFonts w:eastAsia="Times New Roman" w:cstheme="minorHAnsi"/>
                <w:color w:val="000000"/>
              </w:rPr>
              <w:t xml:space="preserve">(8) </w:t>
            </w:r>
            <w:r w:rsidRPr="005C34F9">
              <w:rPr>
                <w:rFonts w:eastAsia="Times New Roman" w:cstheme="minorHAnsi"/>
                <w:color w:val="000000"/>
              </w:rPr>
              <w:t>14%</w:t>
            </w:r>
          </w:p>
        </w:tc>
        <w:tc>
          <w:tcPr>
            <w:tcW w:w="1713" w:type="dxa"/>
            <w:tcBorders>
              <w:top w:val="nil"/>
              <w:left w:val="nil"/>
              <w:bottom w:val="single" w:sz="4" w:space="0" w:color="auto"/>
              <w:right w:val="single" w:sz="4" w:space="0" w:color="auto"/>
            </w:tcBorders>
            <w:shd w:val="clear" w:color="000000" w:fill="E2EFDA"/>
            <w:noWrap/>
            <w:vAlign w:val="bottom"/>
            <w:hideMark/>
          </w:tcPr>
          <w:p w14:paraId="2FC6FE30" w14:textId="77777777" w:rsidR="00515E4B" w:rsidRPr="005C34F9" w:rsidRDefault="00515E4B" w:rsidP="00C77B6D">
            <w:pPr>
              <w:spacing w:after="0" w:line="240" w:lineRule="auto"/>
              <w:jc w:val="center"/>
              <w:rPr>
                <w:rFonts w:eastAsia="Times New Roman" w:cstheme="minorHAnsi"/>
                <w:color w:val="000000"/>
              </w:rPr>
            </w:pPr>
            <w:r>
              <w:rPr>
                <w:rFonts w:eastAsia="Times New Roman" w:cstheme="minorHAnsi"/>
                <w:color w:val="000000"/>
              </w:rPr>
              <w:t xml:space="preserve">(5) </w:t>
            </w:r>
            <w:r w:rsidRPr="005C34F9">
              <w:rPr>
                <w:rFonts w:eastAsia="Times New Roman" w:cstheme="minorHAnsi"/>
                <w:color w:val="000000"/>
              </w:rPr>
              <w:t>26%</w:t>
            </w:r>
          </w:p>
        </w:tc>
        <w:tc>
          <w:tcPr>
            <w:tcW w:w="1525" w:type="dxa"/>
            <w:tcBorders>
              <w:top w:val="nil"/>
              <w:left w:val="nil"/>
              <w:bottom w:val="single" w:sz="4" w:space="0" w:color="auto"/>
              <w:right w:val="single" w:sz="4" w:space="0" w:color="auto"/>
            </w:tcBorders>
            <w:shd w:val="clear" w:color="000000" w:fill="FFF2CC"/>
            <w:noWrap/>
            <w:vAlign w:val="bottom"/>
            <w:hideMark/>
          </w:tcPr>
          <w:p w14:paraId="00124418" w14:textId="77777777" w:rsidR="00515E4B" w:rsidRPr="005C34F9" w:rsidRDefault="00515E4B" w:rsidP="00C77B6D">
            <w:pPr>
              <w:spacing w:after="0" w:line="240" w:lineRule="auto"/>
              <w:jc w:val="center"/>
              <w:rPr>
                <w:rFonts w:eastAsia="Times New Roman" w:cstheme="minorHAnsi"/>
                <w:color w:val="000000"/>
              </w:rPr>
            </w:pPr>
            <w:r>
              <w:rPr>
                <w:rFonts w:eastAsia="Times New Roman" w:cstheme="minorHAnsi"/>
                <w:color w:val="000000"/>
              </w:rPr>
              <w:t xml:space="preserve">(2) </w:t>
            </w:r>
            <w:r w:rsidRPr="005C34F9">
              <w:rPr>
                <w:rFonts w:eastAsia="Times New Roman" w:cstheme="minorHAnsi"/>
                <w:color w:val="000000"/>
              </w:rPr>
              <w:t>17%</w:t>
            </w:r>
          </w:p>
        </w:tc>
      </w:tr>
      <w:tr w:rsidR="00515E4B" w:rsidRPr="005C34F9" w14:paraId="178691E7" w14:textId="77777777" w:rsidTr="00C77B6D">
        <w:trPr>
          <w:trHeight w:val="288"/>
        </w:trPr>
        <w:tc>
          <w:tcPr>
            <w:tcW w:w="4651" w:type="dxa"/>
            <w:tcBorders>
              <w:top w:val="nil"/>
              <w:left w:val="single" w:sz="4" w:space="0" w:color="auto"/>
              <w:bottom w:val="single" w:sz="4" w:space="0" w:color="auto"/>
              <w:right w:val="single" w:sz="4" w:space="0" w:color="auto"/>
            </w:tcBorders>
            <w:shd w:val="clear" w:color="auto" w:fill="auto"/>
            <w:noWrap/>
            <w:vAlign w:val="bottom"/>
            <w:hideMark/>
          </w:tcPr>
          <w:p w14:paraId="20C7FBDE" w14:textId="77777777" w:rsidR="00515E4B" w:rsidRPr="005C34F9" w:rsidRDefault="00515E4B" w:rsidP="00C77B6D">
            <w:pPr>
              <w:spacing w:after="0" w:line="240" w:lineRule="auto"/>
              <w:rPr>
                <w:rFonts w:eastAsia="Times New Roman" w:cstheme="minorHAnsi"/>
                <w:color w:val="000000"/>
              </w:rPr>
            </w:pPr>
            <w:r w:rsidRPr="005C34F9">
              <w:rPr>
                <w:rFonts w:eastAsia="Times New Roman" w:cstheme="minorHAnsi"/>
                <w:color w:val="000000"/>
              </w:rPr>
              <w:t xml:space="preserve">Different views from stakeholder partners </w:t>
            </w:r>
          </w:p>
        </w:tc>
        <w:tc>
          <w:tcPr>
            <w:tcW w:w="1461" w:type="dxa"/>
            <w:tcBorders>
              <w:top w:val="nil"/>
              <w:left w:val="nil"/>
              <w:bottom w:val="single" w:sz="4" w:space="0" w:color="auto"/>
              <w:right w:val="single" w:sz="4" w:space="0" w:color="auto"/>
            </w:tcBorders>
            <w:shd w:val="clear" w:color="auto" w:fill="auto"/>
            <w:noWrap/>
            <w:vAlign w:val="bottom"/>
            <w:hideMark/>
          </w:tcPr>
          <w:p w14:paraId="331633F0" w14:textId="77777777" w:rsidR="00515E4B" w:rsidRPr="005C34F9" w:rsidRDefault="00515E4B" w:rsidP="00C77B6D">
            <w:pPr>
              <w:spacing w:after="0" w:line="240" w:lineRule="auto"/>
              <w:jc w:val="center"/>
              <w:rPr>
                <w:rFonts w:eastAsia="Times New Roman" w:cstheme="minorHAnsi"/>
                <w:color w:val="000000"/>
              </w:rPr>
            </w:pPr>
            <w:r>
              <w:rPr>
                <w:rFonts w:eastAsia="Times New Roman" w:cstheme="minorHAnsi"/>
                <w:color w:val="000000"/>
              </w:rPr>
              <w:t xml:space="preserve">(6) </w:t>
            </w:r>
            <w:r w:rsidRPr="005C34F9">
              <w:rPr>
                <w:rFonts w:eastAsia="Times New Roman" w:cstheme="minorHAnsi"/>
                <w:color w:val="000000"/>
              </w:rPr>
              <w:t>11%</w:t>
            </w:r>
          </w:p>
        </w:tc>
        <w:tc>
          <w:tcPr>
            <w:tcW w:w="1713" w:type="dxa"/>
            <w:tcBorders>
              <w:top w:val="nil"/>
              <w:left w:val="nil"/>
              <w:bottom w:val="single" w:sz="4" w:space="0" w:color="auto"/>
              <w:right w:val="single" w:sz="4" w:space="0" w:color="auto"/>
            </w:tcBorders>
            <w:shd w:val="clear" w:color="auto" w:fill="auto"/>
            <w:noWrap/>
            <w:vAlign w:val="bottom"/>
            <w:hideMark/>
          </w:tcPr>
          <w:p w14:paraId="75D3522E" w14:textId="77777777" w:rsidR="00515E4B" w:rsidRPr="005C34F9" w:rsidRDefault="00515E4B" w:rsidP="00C77B6D">
            <w:pPr>
              <w:spacing w:after="0" w:line="240" w:lineRule="auto"/>
              <w:jc w:val="center"/>
              <w:rPr>
                <w:rFonts w:eastAsia="Times New Roman" w:cstheme="minorHAnsi"/>
                <w:color w:val="000000"/>
              </w:rPr>
            </w:pPr>
            <w:r>
              <w:rPr>
                <w:rFonts w:eastAsia="Times New Roman" w:cstheme="minorHAnsi"/>
                <w:color w:val="000000"/>
              </w:rPr>
              <w:t xml:space="preserve">(2) </w:t>
            </w:r>
            <w:r w:rsidRPr="005C34F9">
              <w:rPr>
                <w:rFonts w:eastAsia="Times New Roman" w:cstheme="minorHAnsi"/>
                <w:color w:val="000000"/>
              </w:rPr>
              <w:t>11%</w:t>
            </w:r>
          </w:p>
        </w:tc>
        <w:tc>
          <w:tcPr>
            <w:tcW w:w="1525" w:type="dxa"/>
            <w:tcBorders>
              <w:top w:val="nil"/>
              <w:left w:val="nil"/>
              <w:bottom w:val="single" w:sz="4" w:space="0" w:color="auto"/>
              <w:right w:val="single" w:sz="4" w:space="0" w:color="auto"/>
            </w:tcBorders>
            <w:shd w:val="clear" w:color="000000" w:fill="E2EFDA"/>
            <w:noWrap/>
            <w:vAlign w:val="bottom"/>
            <w:hideMark/>
          </w:tcPr>
          <w:p w14:paraId="4704A04D" w14:textId="77777777" w:rsidR="00515E4B" w:rsidRPr="005C34F9" w:rsidRDefault="00515E4B" w:rsidP="00C77B6D">
            <w:pPr>
              <w:spacing w:after="0" w:line="240" w:lineRule="auto"/>
              <w:jc w:val="center"/>
              <w:rPr>
                <w:rFonts w:eastAsia="Times New Roman" w:cstheme="minorHAnsi"/>
                <w:color w:val="000000"/>
              </w:rPr>
            </w:pPr>
            <w:r>
              <w:rPr>
                <w:rFonts w:eastAsia="Times New Roman" w:cstheme="minorHAnsi"/>
                <w:color w:val="000000"/>
              </w:rPr>
              <w:t xml:space="preserve">(3) </w:t>
            </w:r>
            <w:r w:rsidRPr="005C34F9">
              <w:rPr>
                <w:rFonts w:eastAsia="Times New Roman" w:cstheme="minorHAnsi"/>
                <w:color w:val="000000"/>
              </w:rPr>
              <w:t>25%</w:t>
            </w:r>
          </w:p>
        </w:tc>
      </w:tr>
      <w:tr w:rsidR="00515E4B" w:rsidRPr="005C34F9" w14:paraId="0029EA7C" w14:textId="77777777" w:rsidTr="00C77B6D">
        <w:trPr>
          <w:trHeight w:val="288"/>
        </w:trPr>
        <w:tc>
          <w:tcPr>
            <w:tcW w:w="4651" w:type="dxa"/>
            <w:tcBorders>
              <w:top w:val="nil"/>
              <w:left w:val="single" w:sz="4" w:space="0" w:color="auto"/>
              <w:bottom w:val="single" w:sz="4" w:space="0" w:color="auto"/>
              <w:right w:val="single" w:sz="4" w:space="0" w:color="auto"/>
            </w:tcBorders>
            <w:shd w:val="clear" w:color="auto" w:fill="auto"/>
            <w:noWrap/>
            <w:vAlign w:val="bottom"/>
            <w:hideMark/>
          </w:tcPr>
          <w:p w14:paraId="2097FBEC" w14:textId="77777777" w:rsidR="00515E4B" w:rsidRPr="005C34F9" w:rsidRDefault="00515E4B" w:rsidP="00C77B6D">
            <w:pPr>
              <w:spacing w:after="0" w:line="240" w:lineRule="auto"/>
              <w:rPr>
                <w:rFonts w:eastAsia="Times New Roman" w:cstheme="minorHAnsi"/>
                <w:color w:val="000000"/>
              </w:rPr>
            </w:pPr>
            <w:r w:rsidRPr="005C34F9">
              <w:rPr>
                <w:rFonts w:eastAsia="Times New Roman" w:cstheme="minorHAnsi"/>
                <w:color w:val="000000"/>
              </w:rPr>
              <w:t>Perception of audits versus inspection</w:t>
            </w:r>
          </w:p>
        </w:tc>
        <w:tc>
          <w:tcPr>
            <w:tcW w:w="1461" w:type="dxa"/>
            <w:tcBorders>
              <w:top w:val="nil"/>
              <w:left w:val="nil"/>
              <w:bottom w:val="single" w:sz="4" w:space="0" w:color="auto"/>
              <w:right w:val="single" w:sz="4" w:space="0" w:color="auto"/>
            </w:tcBorders>
            <w:shd w:val="clear" w:color="auto" w:fill="auto"/>
            <w:noWrap/>
            <w:vAlign w:val="bottom"/>
            <w:hideMark/>
          </w:tcPr>
          <w:p w14:paraId="01A85EA3" w14:textId="77777777" w:rsidR="00515E4B" w:rsidRPr="005C34F9" w:rsidRDefault="00515E4B" w:rsidP="00C77B6D">
            <w:pPr>
              <w:spacing w:after="0" w:line="240" w:lineRule="auto"/>
              <w:jc w:val="center"/>
              <w:rPr>
                <w:rFonts w:eastAsia="Times New Roman" w:cstheme="minorHAnsi"/>
                <w:color w:val="000000"/>
              </w:rPr>
            </w:pPr>
            <w:r>
              <w:rPr>
                <w:rFonts w:eastAsia="Times New Roman" w:cstheme="minorHAnsi"/>
                <w:color w:val="000000"/>
              </w:rPr>
              <w:t xml:space="preserve">(4) </w:t>
            </w:r>
            <w:r w:rsidRPr="005C34F9">
              <w:rPr>
                <w:rFonts w:eastAsia="Times New Roman" w:cstheme="minorHAnsi"/>
                <w:color w:val="000000"/>
              </w:rPr>
              <w:t>7%</w:t>
            </w:r>
          </w:p>
        </w:tc>
        <w:tc>
          <w:tcPr>
            <w:tcW w:w="1713" w:type="dxa"/>
            <w:tcBorders>
              <w:top w:val="nil"/>
              <w:left w:val="nil"/>
              <w:bottom w:val="single" w:sz="4" w:space="0" w:color="auto"/>
              <w:right w:val="single" w:sz="4" w:space="0" w:color="auto"/>
            </w:tcBorders>
            <w:shd w:val="clear" w:color="auto" w:fill="auto"/>
            <w:noWrap/>
            <w:vAlign w:val="bottom"/>
            <w:hideMark/>
          </w:tcPr>
          <w:p w14:paraId="334334C9" w14:textId="77777777" w:rsidR="00515E4B" w:rsidRPr="005C34F9" w:rsidRDefault="00515E4B" w:rsidP="00C77B6D">
            <w:pPr>
              <w:spacing w:after="0" w:line="240" w:lineRule="auto"/>
              <w:jc w:val="center"/>
              <w:rPr>
                <w:rFonts w:eastAsia="Times New Roman" w:cstheme="minorHAnsi"/>
                <w:color w:val="000000"/>
              </w:rPr>
            </w:pPr>
            <w:r w:rsidRPr="005C34F9">
              <w:rPr>
                <w:rFonts w:eastAsia="Times New Roman" w:cstheme="minorHAnsi"/>
                <w:color w:val="000000"/>
              </w:rPr>
              <w:t>-</w:t>
            </w:r>
          </w:p>
        </w:tc>
        <w:tc>
          <w:tcPr>
            <w:tcW w:w="1525" w:type="dxa"/>
            <w:tcBorders>
              <w:top w:val="nil"/>
              <w:left w:val="nil"/>
              <w:bottom w:val="single" w:sz="4" w:space="0" w:color="auto"/>
              <w:right w:val="single" w:sz="4" w:space="0" w:color="auto"/>
            </w:tcBorders>
            <w:shd w:val="clear" w:color="auto" w:fill="auto"/>
            <w:noWrap/>
            <w:vAlign w:val="bottom"/>
            <w:hideMark/>
          </w:tcPr>
          <w:p w14:paraId="344CC4E2" w14:textId="77777777" w:rsidR="00515E4B" w:rsidRPr="005C34F9" w:rsidRDefault="00515E4B" w:rsidP="00C77B6D">
            <w:pPr>
              <w:spacing w:after="0" w:line="240" w:lineRule="auto"/>
              <w:jc w:val="center"/>
              <w:rPr>
                <w:rFonts w:eastAsia="Times New Roman" w:cstheme="minorHAnsi"/>
                <w:color w:val="000000"/>
              </w:rPr>
            </w:pPr>
            <w:r>
              <w:rPr>
                <w:rFonts w:eastAsia="Times New Roman" w:cstheme="minorHAnsi"/>
                <w:color w:val="000000"/>
              </w:rPr>
              <w:t xml:space="preserve">(1) </w:t>
            </w:r>
            <w:r w:rsidRPr="005C34F9">
              <w:rPr>
                <w:rFonts w:eastAsia="Times New Roman" w:cstheme="minorHAnsi"/>
                <w:color w:val="000000"/>
              </w:rPr>
              <w:t>8%</w:t>
            </w:r>
          </w:p>
        </w:tc>
      </w:tr>
      <w:tr w:rsidR="00515E4B" w:rsidRPr="005C34F9" w14:paraId="56207C81" w14:textId="77777777" w:rsidTr="00C77B6D">
        <w:trPr>
          <w:trHeight w:val="288"/>
        </w:trPr>
        <w:tc>
          <w:tcPr>
            <w:tcW w:w="4651" w:type="dxa"/>
            <w:tcBorders>
              <w:top w:val="nil"/>
              <w:left w:val="single" w:sz="4" w:space="0" w:color="auto"/>
              <w:bottom w:val="single" w:sz="4" w:space="0" w:color="auto"/>
              <w:right w:val="single" w:sz="4" w:space="0" w:color="auto"/>
            </w:tcBorders>
            <w:shd w:val="clear" w:color="auto" w:fill="auto"/>
            <w:noWrap/>
            <w:vAlign w:val="bottom"/>
            <w:hideMark/>
          </w:tcPr>
          <w:p w14:paraId="631540BE" w14:textId="77777777" w:rsidR="00515E4B" w:rsidRPr="005C34F9" w:rsidRDefault="00515E4B" w:rsidP="00C77B6D">
            <w:pPr>
              <w:spacing w:after="0" w:line="240" w:lineRule="auto"/>
              <w:rPr>
                <w:rFonts w:eastAsia="Times New Roman" w:cstheme="minorHAnsi"/>
                <w:color w:val="000000"/>
              </w:rPr>
            </w:pPr>
            <w:r w:rsidRPr="005C34F9">
              <w:rPr>
                <w:rFonts w:eastAsia="Times New Roman" w:cstheme="minorHAnsi"/>
                <w:color w:val="000000"/>
              </w:rPr>
              <w:t>Different avenues to receive financial support</w:t>
            </w:r>
          </w:p>
        </w:tc>
        <w:tc>
          <w:tcPr>
            <w:tcW w:w="1461" w:type="dxa"/>
            <w:tcBorders>
              <w:top w:val="nil"/>
              <w:left w:val="nil"/>
              <w:bottom w:val="single" w:sz="4" w:space="0" w:color="auto"/>
              <w:right w:val="single" w:sz="4" w:space="0" w:color="auto"/>
            </w:tcBorders>
            <w:shd w:val="clear" w:color="auto" w:fill="auto"/>
            <w:noWrap/>
            <w:vAlign w:val="bottom"/>
            <w:hideMark/>
          </w:tcPr>
          <w:p w14:paraId="4161A93B" w14:textId="77777777" w:rsidR="00515E4B" w:rsidRPr="005C34F9" w:rsidRDefault="00515E4B" w:rsidP="00C77B6D">
            <w:pPr>
              <w:spacing w:after="0" w:line="240" w:lineRule="auto"/>
              <w:jc w:val="center"/>
              <w:rPr>
                <w:rFonts w:eastAsia="Times New Roman" w:cstheme="minorHAnsi"/>
                <w:color w:val="000000"/>
              </w:rPr>
            </w:pPr>
            <w:r>
              <w:rPr>
                <w:rFonts w:eastAsia="Times New Roman" w:cstheme="minorHAnsi"/>
                <w:color w:val="000000"/>
              </w:rPr>
              <w:t xml:space="preserve">(3) </w:t>
            </w:r>
            <w:r w:rsidRPr="005C34F9">
              <w:rPr>
                <w:rFonts w:eastAsia="Times New Roman" w:cstheme="minorHAnsi"/>
                <w:color w:val="000000"/>
              </w:rPr>
              <w:t>5%</w:t>
            </w:r>
          </w:p>
        </w:tc>
        <w:tc>
          <w:tcPr>
            <w:tcW w:w="1713" w:type="dxa"/>
            <w:tcBorders>
              <w:top w:val="nil"/>
              <w:left w:val="nil"/>
              <w:bottom w:val="single" w:sz="4" w:space="0" w:color="auto"/>
              <w:right w:val="single" w:sz="4" w:space="0" w:color="auto"/>
            </w:tcBorders>
            <w:shd w:val="clear" w:color="auto" w:fill="auto"/>
            <w:noWrap/>
            <w:vAlign w:val="bottom"/>
            <w:hideMark/>
          </w:tcPr>
          <w:p w14:paraId="5AA611B3" w14:textId="77777777" w:rsidR="00515E4B" w:rsidRPr="005C34F9" w:rsidRDefault="00515E4B" w:rsidP="00C77B6D">
            <w:pPr>
              <w:spacing w:after="0" w:line="240" w:lineRule="auto"/>
              <w:jc w:val="center"/>
              <w:rPr>
                <w:rFonts w:eastAsia="Times New Roman" w:cstheme="minorHAnsi"/>
                <w:color w:val="000000"/>
              </w:rPr>
            </w:pPr>
            <w:r w:rsidRPr="005C34F9">
              <w:rPr>
                <w:rFonts w:eastAsia="Times New Roman" w:cstheme="minorHAnsi"/>
                <w:color w:val="000000"/>
              </w:rPr>
              <w:t>-</w:t>
            </w:r>
          </w:p>
        </w:tc>
        <w:tc>
          <w:tcPr>
            <w:tcW w:w="1525" w:type="dxa"/>
            <w:tcBorders>
              <w:top w:val="nil"/>
              <w:left w:val="nil"/>
              <w:bottom w:val="single" w:sz="4" w:space="0" w:color="auto"/>
              <w:right w:val="single" w:sz="4" w:space="0" w:color="auto"/>
            </w:tcBorders>
            <w:shd w:val="clear" w:color="auto" w:fill="auto"/>
            <w:noWrap/>
            <w:vAlign w:val="bottom"/>
            <w:hideMark/>
          </w:tcPr>
          <w:p w14:paraId="3001F4FE" w14:textId="77777777" w:rsidR="00515E4B" w:rsidRPr="005C34F9" w:rsidRDefault="00515E4B" w:rsidP="00C77B6D">
            <w:pPr>
              <w:spacing w:after="0" w:line="240" w:lineRule="auto"/>
              <w:jc w:val="center"/>
              <w:rPr>
                <w:rFonts w:eastAsia="Times New Roman" w:cstheme="minorHAnsi"/>
                <w:color w:val="000000"/>
              </w:rPr>
            </w:pPr>
            <w:r>
              <w:rPr>
                <w:rFonts w:eastAsia="Times New Roman" w:cstheme="minorHAnsi"/>
                <w:color w:val="000000"/>
              </w:rPr>
              <w:t xml:space="preserve">(1) </w:t>
            </w:r>
            <w:r w:rsidRPr="005C34F9">
              <w:rPr>
                <w:rFonts w:eastAsia="Times New Roman" w:cstheme="minorHAnsi"/>
                <w:color w:val="000000"/>
              </w:rPr>
              <w:t>8%</w:t>
            </w:r>
          </w:p>
        </w:tc>
      </w:tr>
      <w:tr w:rsidR="00515E4B" w:rsidRPr="005C34F9" w14:paraId="00B366D8" w14:textId="77777777" w:rsidTr="00C77B6D">
        <w:trPr>
          <w:trHeight w:val="288"/>
        </w:trPr>
        <w:tc>
          <w:tcPr>
            <w:tcW w:w="4651" w:type="dxa"/>
            <w:tcBorders>
              <w:top w:val="nil"/>
              <w:left w:val="single" w:sz="4" w:space="0" w:color="auto"/>
              <w:bottom w:val="single" w:sz="4" w:space="0" w:color="auto"/>
              <w:right w:val="single" w:sz="4" w:space="0" w:color="auto"/>
            </w:tcBorders>
            <w:shd w:val="clear" w:color="auto" w:fill="auto"/>
            <w:noWrap/>
            <w:vAlign w:val="bottom"/>
            <w:hideMark/>
          </w:tcPr>
          <w:p w14:paraId="37553E99" w14:textId="77777777" w:rsidR="00515E4B" w:rsidRPr="005C34F9" w:rsidRDefault="00515E4B" w:rsidP="00C77B6D">
            <w:pPr>
              <w:spacing w:after="0" w:line="240" w:lineRule="auto"/>
              <w:rPr>
                <w:rFonts w:eastAsia="Times New Roman" w:cstheme="minorHAnsi"/>
                <w:color w:val="000000"/>
              </w:rPr>
            </w:pPr>
            <w:r w:rsidRPr="005C34F9">
              <w:rPr>
                <w:rFonts w:eastAsia="Times New Roman" w:cstheme="minorHAnsi"/>
                <w:color w:val="000000"/>
              </w:rPr>
              <w:t>Share similar challenges with colleagues across the region</w:t>
            </w:r>
          </w:p>
        </w:tc>
        <w:tc>
          <w:tcPr>
            <w:tcW w:w="1461" w:type="dxa"/>
            <w:tcBorders>
              <w:top w:val="nil"/>
              <w:left w:val="nil"/>
              <w:bottom w:val="single" w:sz="4" w:space="0" w:color="auto"/>
              <w:right w:val="single" w:sz="4" w:space="0" w:color="auto"/>
            </w:tcBorders>
            <w:shd w:val="clear" w:color="auto" w:fill="auto"/>
            <w:noWrap/>
            <w:vAlign w:val="bottom"/>
            <w:hideMark/>
          </w:tcPr>
          <w:p w14:paraId="5C4F5656" w14:textId="77777777" w:rsidR="00515E4B" w:rsidRPr="005C34F9" w:rsidRDefault="00515E4B" w:rsidP="00C77B6D">
            <w:pPr>
              <w:spacing w:after="0" w:line="240" w:lineRule="auto"/>
              <w:jc w:val="center"/>
              <w:rPr>
                <w:rFonts w:eastAsia="Times New Roman" w:cstheme="minorHAnsi"/>
                <w:color w:val="000000"/>
              </w:rPr>
            </w:pPr>
            <w:r>
              <w:rPr>
                <w:rFonts w:eastAsia="Times New Roman" w:cstheme="minorHAnsi"/>
                <w:color w:val="000000"/>
              </w:rPr>
              <w:t xml:space="preserve">(1) </w:t>
            </w:r>
            <w:r w:rsidRPr="005C34F9">
              <w:rPr>
                <w:rFonts w:eastAsia="Times New Roman" w:cstheme="minorHAnsi"/>
                <w:color w:val="000000"/>
              </w:rPr>
              <w:t>2%</w:t>
            </w:r>
          </w:p>
        </w:tc>
        <w:tc>
          <w:tcPr>
            <w:tcW w:w="1713" w:type="dxa"/>
            <w:tcBorders>
              <w:top w:val="nil"/>
              <w:left w:val="nil"/>
              <w:bottom w:val="single" w:sz="4" w:space="0" w:color="auto"/>
              <w:right w:val="single" w:sz="4" w:space="0" w:color="auto"/>
            </w:tcBorders>
            <w:shd w:val="clear" w:color="auto" w:fill="auto"/>
            <w:noWrap/>
            <w:vAlign w:val="bottom"/>
            <w:hideMark/>
          </w:tcPr>
          <w:p w14:paraId="6AB00A84" w14:textId="77777777" w:rsidR="00515E4B" w:rsidRPr="005C34F9" w:rsidRDefault="00515E4B" w:rsidP="00C77B6D">
            <w:pPr>
              <w:spacing w:after="0" w:line="240" w:lineRule="auto"/>
              <w:jc w:val="center"/>
              <w:rPr>
                <w:rFonts w:eastAsia="Times New Roman" w:cstheme="minorHAnsi"/>
                <w:color w:val="000000"/>
              </w:rPr>
            </w:pPr>
            <w:r>
              <w:rPr>
                <w:rFonts w:eastAsia="Times New Roman" w:cstheme="minorHAnsi"/>
                <w:color w:val="000000"/>
              </w:rPr>
              <w:t>(1) 5</w:t>
            </w:r>
            <w:r w:rsidRPr="005C34F9">
              <w:rPr>
                <w:rFonts w:eastAsia="Times New Roman" w:cstheme="minorHAnsi"/>
                <w:color w:val="000000"/>
              </w:rPr>
              <w:t>%</w:t>
            </w:r>
          </w:p>
        </w:tc>
        <w:tc>
          <w:tcPr>
            <w:tcW w:w="1525" w:type="dxa"/>
            <w:tcBorders>
              <w:top w:val="nil"/>
              <w:left w:val="nil"/>
              <w:bottom w:val="single" w:sz="4" w:space="0" w:color="auto"/>
              <w:right w:val="single" w:sz="4" w:space="0" w:color="auto"/>
            </w:tcBorders>
            <w:shd w:val="clear" w:color="auto" w:fill="auto"/>
            <w:noWrap/>
            <w:vAlign w:val="bottom"/>
            <w:hideMark/>
          </w:tcPr>
          <w:p w14:paraId="7E904BA8" w14:textId="77777777" w:rsidR="00515E4B" w:rsidRPr="005C34F9" w:rsidRDefault="00515E4B" w:rsidP="00C77B6D">
            <w:pPr>
              <w:spacing w:after="0" w:line="240" w:lineRule="auto"/>
              <w:jc w:val="center"/>
              <w:rPr>
                <w:rFonts w:eastAsia="Times New Roman" w:cstheme="minorHAnsi"/>
                <w:color w:val="000000"/>
              </w:rPr>
            </w:pPr>
            <w:r w:rsidRPr="005C34F9">
              <w:rPr>
                <w:rFonts w:eastAsia="Times New Roman" w:cstheme="minorHAnsi"/>
                <w:color w:val="000000"/>
              </w:rPr>
              <w:t>-</w:t>
            </w:r>
          </w:p>
        </w:tc>
      </w:tr>
      <w:tr w:rsidR="00515E4B" w:rsidRPr="005C34F9" w14:paraId="13F4F1D2" w14:textId="77777777" w:rsidTr="00C77B6D">
        <w:trPr>
          <w:trHeight w:val="288"/>
        </w:trPr>
        <w:tc>
          <w:tcPr>
            <w:tcW w:w="4651" w:type="dxa"/>
            <w:vMerge w:val="restart"/>
            <w:tcBorders>
              <w:top w:val="nil"/>
              <w:left w:val="nil"/>
              <w:right w:val="nil"/>
            </w:tcBorders>
            <w:shd w:val="clear" w:color="auto" w:fill="auto"/>
            <w:noWrap/>
            <w:vAlign w:val="bottom"/>
            <w:hideMark/>
          </w:tcPr>
          <w:p w14:paraId="7D7D14DA" w14:textId="5A7E4343" w:rsidR="00515E4B" w:rsidRPr="005C34F9" w:rsidRDefault="00515E4B" w:rsidP="001A6C24">
            <w:pPr>
              <w:spacing w:after="0" w:line="240" w:lineRule="auto"/>
              <w:rPr>
                <w:rFonts w:eastAsia="Times New Roman" w:cstheme="minorHAnsi"/>
                <w:color w:val="000000"/>
              </w:rPr>
            </w:pPr>
            <w:r w:rsidRPr="009F333E">
              <w:rPr>
                <w:rFonts w:eastAsia="Times New Roman" w:cs="Arial"/>
                <w:b/>
                <w:i/>
                <w:color w:val="000000"/>
                <w:sz w:val="20"/>
              </w:rPr>
              <w:t xml:space="preserve">Table </w:t>
            </w:r>
            <w:r w:rsidR="009F333E" w:rsidRPr="009F333E">
              <w:rPr>
                <w:rFonts w:eastAsia="Times New Roman" w:cs="Arial"/>
                <w:b/>
                <w:i/>
                <w:color w:val="000000"/>
                <w:sz w:val="20"/>
              </w:rPr>
              <w:t>5</w:t>
            </w:r>
            <w:r w:rsidR="001A6C24">
              <w:rPr>
                <w:rFonts w:eastAsia="Times New Roman" w:cs="Arial"/>
                <w:b/>
                <w:i/>
                <w:color w:val="000000"/>
                <w:sz w:val="20"/>
              </w:rPr>
              <w:t>. Respondent T</w:t>
            </w:r>
            <w:r w:rsidRPr="009F333E">
              <w:rPr>
                <w:rFonts w:eastAsia="Times New Roman" w:cs="Arial"/>
                <w:b/>
                <w:i/>
                <w:color w:val="000000"/>
                <w:sz w:val="20"/>
              </w:rPr>
              <w:t>hem</w:t>
            </w:r>
            <w:r w:rsidR="001A6C24">
              <w:rPr>
                <w:rFonts w:eastAsia="Times New Roman" w:cs="Arial"/>
                <w:b/>
                <w:i/>
                <w:color w:val="000000"/>
                <w:sz w:val="20"/>
              </w:rPr>
              <w:t>es to “What did you learn?” by Role in Produce Safety C</w:t>
            </w:r>
            <w:r w:rsidRPr="009F333E">
              <w:rPr>
                <w:rFonts w:eastAsia="Times New Roman" w:cs="Arial"/>
                <w:b/>
                <w:i/>
                <w:color w:val="000000"/>
                <w:sz w:val="20"/>
              </w:rPr>
              <w:t>ommunity.</w:t>
            </w:r>
            <w:r w:rsidR="00C35D39">
              <w:rPr>
                <w:rFonts w:eastAsia="Times New Roman" w:cs="Arial"/>
                <w:b/>
                <w:i/>
                <w:color w:val="000000"/>
                <w:sz w:val="20"/>
              </w:rPr>
              <w:t xml:space="preserve"> </w:t>
            </w:r>
            <w:r w:rsidRPr="009F333E">
              <w:rPr>
                <w:rFonts w:eastAsia="Times New Roman" w:cs="Arial"/>
                <w:b/>
                <w:i/>
                <w:color w:val="000000"/>
                <w:sz w:val="20"/>
              </w:rPr>
              <w:t>2018 NECAFS Annual Conference and Meeting.</w:t>
            </w:r>
          </w:p>
        </w:tc>
        <w:tc>
          <w:tcPr>
            <w:tcW w:w="1461" w:type="dxa"/>
            <w:tcBorders>
              <w:top w:val="nil"/>
              <w:left w:val="nil"/>
              <w:bottom w:val="nil"/>
              <w:right w:val="nil"/>
            </w:tcBorders>
            <w:shd w:val="clear" w:color="auto" w:fill="auto"/>
            <w:noWrap/>
            <w:vAlign w:val="bottom"/>
            <w:hideMark/>
          </w:tcPr>
          <w:p w14:paraId="4295EBBA" w14:textId="77777777" w:rsidR="00515E4B" w:rsidRPr="005C34F9" w:rsidRDefault="00515E4B" w:rsidP="00C77B6D">
            <w:pPr>
              <w:spacing w:after="0" w:line="240" w:lineRule="auto"/>
              <w:rPr>
                <w:rFonts w:eastAsia="Times New Roman" w:cstheme="minorHAnsi"/>
              </w:rPr>
            </w:pPr>
          </w:p>
        </w:tc>
        <w:tc>
          <w:tcPr>
            <w:tcW w:w="1713" w:type="dxa"/>
            <w:tcBorders>
              <w:top w:val="nil"/>
              <w:left w:val="nil"/>
              <w:bottom w:val="nil"/>
              <w:right w:val="nil"/>
            </w:tcBorders>
            <w:shd w:val="clear" w:color="auto" w:fill="auto"/>
            <w:noWrap/>
            <w:vAlign w:val="bottom"/>
            <w:hideMark/>
          </w:tcPr>
          <w:p w14:paraId="0C811F9B" w14:textId="77777777" w:rsidR="00515E4B" w:rsidRPr="005C34F9" w:rsidRDefault="00515E4B" w:rsidP="00C77B6D">
            <w:pPr>
              <w:spacing w:after="0" w:line="240" w:lineRule="auto"/>
              <w:rPr>
                <w:rFonts w:eastAsia="Times New Roman" w:cstheme="minorHAnsi"/>
              </w:rPr>
            </w:pPr>
          </w:p>
        </w:tc>
        <w:tc>
          <w:tcPr>
            <w:tcW w:w="1525" w:type="dxa"/>
            <w:tcBorders>
              <w:top w:val="nil"/>
              <w:left w:val="nil"/>
              <w:bottom w:val="nil"/>
              <w:right w:val="nil"/>
            </w:tcBorders>
            <w:shd w:val="clear" w:color="auto" w:fill="auto"/>
            <w:noWrap/>
            <w:vAlign w:val="bottom"/>
            <w:hideMark/>
          </w:tcPr>
          <w:p w14:paraId="50A63967" w14:textId="77777777" w:rsidR="00515E4B" w:rsidRPr="005C34F9" w:rsidRDefault="00515E4B" w:rsidP="00C77B6D">
            <w:pPr>
              <w:spacing w:after="0" w:line="240" w:lineRule="auto"/>
              <w:rPr>
                <w:rFonts w:eastAsia="Times New Roman" w:cstheme="minorHAnsi"/>
              </w:rPr>
            </w:pPr>
          </w:p>
        </w:tc>
      </w:tr>
      <w:tr w:rsidR="00515E4B" w:rsidRPr="005C34F9" w14:paraId="62706DA3" w14:textId="77777777" w:rsidTr="00C77B6D">
        <w:trPr>
          <w:trHeight w:val="288"/>
        </w:trPr>
        <w:tc>
          <w:tcPr>
            <w:tcW w:w="4651" w:type="dxa"/>
            <w:vMerge/>
            <w:tcBorders>
              <w:left w:val="nil"/>
              <w:right w:val="nil"/>
            </w:tcBorders>
            <w:shd w:val="clear" w:color="auto" w:fill="auto"/>
            <w:noWrap/>
            <w:vAlign w:val="bottom"/>
            <w:hideMark/>
          </w:tcPr>
          <w:p w14:paraId="36EDD11E" w14:textId="77777777" w:rsidR="00515E4B" w:rsidRPr="005C34F9" w:rsidRDefault="00515E4B" w:rsidP="00C77B6D">
            <w:pPr>
              <w:spacing w:after="0" w:line="240" w:lineRule="auto"/>
              <w:rPr>
                <w:rFonts w:eastAsia="Times New Roman" w:cstheme="minorHAnsi"/>
              </w:rPr>
            </w:pPr>
          </w:p>
        </w:tc>
        <w:tc>
          <w:tcPr>
            <w:tcW w:w="1461" w:type="dxa"/>
            <w:tcBorders>
              <w:top w:val="nil"/>
              <w:left w:val="nil"/>
              <w:bottom w:val="nil"/>
              <w:right w:val="nil"/>
            </w:tcBorders>
            <w:shd w:val="clear" w:color="auto" w:fill="auto"/>
            <w:noWrap/>
            <w:vAlign w:val="bottom"/>
            <w:hideMark/>
          </w:tcPr>
          <w:p w14:paraId="5C7C3ED8" w14:textId="77777777" w:rsidR="00515E4B" w:rsidRPr="005C34F9" w:rsidRDefault="00515E4B" w:rsidP="00C77B6D">
            <w:pPr>
              <w:spacing w:after="0" w:line="240" w:lineRule="auto"/>
              <w:rPr>
                <w:rFonts w:eastAsia="Times New Roman" w:cstheme="minorHAnsi"/>
                <w:b/>
                <w:bCs/>
                <w:color w:val="000000"/>
              </w:rPr>
            </w:pPr>
            <w:r w:rsidRPr="005C34F9">
              <w:rPr>
                <w:rFonts w:eastAsia="Times New Roman" w:cstheme="minorHAnsi"/>
                <w:b/>
                <w:bCs/>
                <w:color w:val="000000"/>
              </w:rPr>
              <w:t>Key</w:t>
            </w:r>
          </w:p>
        </w:tc>
        <w:tc>
          <w:tcPr>
            <w:tcW w:w="1713"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2583C13B" w14:textId="77777777" w:rsidR="00515E4B" w:rsidRPr="005C34F9" w:rsidRDefault="00515E4B" w:rsidP="00C77B6D">
            <w:pPr>
              <w:spacing w:after="0" w:line="240" w:lineRule="auto"/>
              <w:jc w:val="center"/>
              <w:rPr>
                <w:rFonts w:eastAsia="Times New Roman" w:cstheme="minorHAnsi"/>
                <w:color w:val="000000"/>
              </w:rPr>
            </w:pPr>
            <w:r w:rsidRPr="005C34F9">
              <w:rPr>
                <w:rFonts w:eastAsia="Times New Roman" w:cstheme="minorHAnsi"/>
                <w:color w:val="000000"/>
              </w:rPr>
              <w:t>1st ranking</w:t>
            </w:r>
          </w:p>
        </w:tc>
        <w:tc>
          <w:tcPr>
            <w:tcW w:w="1525" w:type="dxa"/>
            <w:tcBorders>
              <w:top w:val="single" w:sz="4" w:space="0" w:color="auto"/>
              <w:left w:val="nil"/>
              <w:bottom w:val="single" w:sz="4" w:space="0" w:color="auto"/>
              <w:right w:val="single" w:sz="4" w:space="0" w:color="auto"/>
            </w:tcBorders>
            <w:shd w:val="clear" w:color="000000" w:fill="E2EFDA"/>
            <w:noWrap/>
            <w:vAlign w:val="bottom"/>
            <w:hideMark/>
          </w:tcPr>
          <w:p w14:paraId="4A98C954" w14:textId="77777777" w:rsidR="00515E4B" w:rsidRPr="005C34F9" w:rsidRDefault="00515E4B" w:rsidP="00C77B6D">
            <w:pPr>
              <w:spacing w:after="0" w:line="240" w:lineRule="auto"/>
              <w:jc w:val="center"/>
              <w:rPr>
                <w:rFonts w:eastAsia="Times New Roman" w:cstheme="minorHAnsi"/>
                <w:color w:val="000000"/>
              </w:rPr>
            </w:pPr>
            <w:r w:rsidRPr="005C34F9">
              <w:rPr>
                <w:rFonts w:eastAsia="Times New Roman" w:cstheme="minorHAnsi"/>
                <w:color w:val="000000"/>
              </w:rPr>
              <w:t>1st ranking</w:t>
            </w:r>
          </w:p>
        </w:tc>
      </w:tr>
      <w:tr w:rsidR="00515E4B" w:rsidRPr="005C34F9" w14:paraId="535C82E3" w14:textId="77777777" w:rsidTr="00C77B6D">
        <w:trPr>
          <w:trHeight w:val="288"/>
        </w:trPr>
        <w:tc>
          <w:tcPr>
            <w:tcW w:w="4651" w:type="dxa"/>
            <w:vMerge/>
            <w:tcBorders>
              <w:left w:val="nil"/>
              <w:bottom w:val="nil"/>
              <w:right w:val="nil"/>
            </w:tcBorders>
            <w:shd w:val="clear" w:color="auto" w:fill="auto"/>
            <w:noWrap/>
            <w:vAlign w:val="bottom"/>
            <w:hideMark/>
          </w:tcPr>
          <w:p w14:paraId="0E2AE30E" w14:textId="77777777" w:rsidR="00515E4B" w:rsidRPr="005C34F9" w:rsidRDefault="00515E4B" w:rsidP="00C77B6D">
            <w:pPr>
              <w:spacing w:after="0" w:line="240" w:lineRule="auto"/>
              <w:jc w:val="center"/>
              <w:rPr>
                <w:rFonts w:eastAsia="Times New Roman" w:cstheme="minorHAnsi"/>
                <w:color w:val="000000"/>
              </w:rPr>
            </w:pPr>
          </w:p>
        </w:tc>
        <w:tc>
          <w:tcPr>
            <w:tcW w:w="1461" w:type="dxa"/>
            <w:tcBorders>
              <w:top w:val="nil"/>
              <w:left w:val="nil"/>
              <w:bottom w:val="nil"/>
              <w:right w:val="nil"/>
            </w:tcBorders>
            <w:shd w:val="clear" w:color="auto" w:fill="auto"/>
            <w:noWrap/>
            <w:vAlign w:val="bottom"/>
            <w:hideMark/>
          </w:tcPr>
          <w:p w14:paraId="1E554596" w14:textId="77777777" w:rsidR="00515E4B" w:rsidRPr="005C34F9" w:rsidRDefault="00515E4B" w:rsidP="00C77B6D">
            <w:pPr>
              <w:spacing w:after="0" w:line="240" w:lineRule="auto"/>
              <w:rPr>
                <w:rFonts w:eastAsia="Times New Roman" w:cstheme="minorHAnsi"/>
              </w:rPr>
            </w:pPr>
          </w:p>
        </w:tc>
        <w:tc>
          <w:tcPr>
            <w:tcW w:w="1713" w:type="dxa"/>
            <w:tcBorders>
              <w:top w:val="nil"/>
              <w:left w:val="single" w:sz="4" w:space="0" w:color="auto"/>
              <w:bottom w:val="single" w:sz="4" w:space="0" w:color="auto"/>
              <w:right w:val="single" w:sz="4" w:space="0" w:color="auto"/>
            </w:tcBorders>
            <w:shd w:val="clear" w:color="000000" w:fill="FFF2CC"/>
            <w:noWrap/>
            <w:vAlign w:val="bottom"/>
            <w:hideMark/>
          </w:tcPr>
          <w:p w14:paraId="485B597E" w14:textId="77777777" w:rsidR="00515E4B" w:rsidRPr="005C34F9" w:rsidRDefault="00515E4B" w:rsidP="00C77B6D">
            <w:pPr>
              <w:spacing w:after="0" w:line="240" w:lineRule="auto"/>
              <w:jc w:val="center"/>
              <w:rPr>
                <w:rFonts w:eastAsia="Times New Roman" w:cstheme="minorHAnsi"/>
                <w:color w:val="000000"/>
              </w:rPr>
            </w:pPr>
            <w:r w:rsidRPr="005C34F9">
              <w:rPr>
                <w:rFonts w:eastAsia="Times New Roman" w:cstheme="minorHAnsi"/>
                <w:color w:val="000000"/>
              </w:rPr>
              <w:t>2nd ranking</w:t>
            </w:r>
          </w:p>
        </w:tc>
        <w:tc>
          <w:tcPr>
            <w:tcW w:w="1525" w:type="dxa"/>
            <w:tcBorders>
              <w:top w:val="nil"/>
              <w:left w:val="nil"/>
              <w:bottom w:val="single" w:sz="4" w:space="0" w:color="auto"/>
              <w:right w:val="single" w:sz="4" w:space="0" w:color="auto"/>
            </w:tcBorders>
            <w:shd w:val="clear" w:color="000000" w:fill="FFF2CC"/>
            <w:noWrap/>
            <w:vAlign w:val="bottom"/>
            <w:hideMark/>
          </w:tcPr>
          <w:p w14:paraId="738513FB" w14:textId="77777777" w:rsidR="00515E4B" w:rsidRPr="005C34F9" w:rsidRDefault="00515E4B" w:rsidP="00C77B6D">
            <w:pPr>
              <w:spacing w:after="0" w:line="240" w:lineRule="auto"/>
              <w:jc w:val="center"/>
              <w:rPr>
                <w:rFonts w:eastAsia="Times New Roman" w:cstheme="minorHAnsi"/>
                <w:color w:val="000000"/>
              </w:rPr>
            </w:pPr>
            <w:r w:rsidRPr="005C34F9">
              <w:rPr>
                <w:rFonts w:eastAsia="Times New Roman" w:cstheme="minorHAnsi"/>
                <w:color w:val="000000"/>
              </w:rPr>
              <w:t>2nd ranking</w:t>
            </w:r>
          </w:p>
        </w:tc>
      </w:tr>
    </w:tbl>
    <w:p w14:paraId="67BFB42A" w14:textId="522CF222" w:rsidR="00515E4B" w:rsidRDefault="00515E4B" w:rsidP="00515E4B">
      <w:pPr>
        <w:rPr>
          <w:szCs w:val="32"/>
        </w:rPr>
      </w:pPr>
      <w:r>
        <w:rPr>
          <w:szCs w:val="32"/>
        </w:rPr>
        <w:t>This shift in theme alignment by role from 2018 to 2019 is noteworthy since the style of the NECAFS Annual Conference and Meeting changed.</w:t>
      </w:r>
      <w:r w:rsidR="00C35D39">
        <w:rPr>
          <w:szCs w:val="32"/>
        </w:rPr>
        <w:t xml:space="preserve"> </w:t>
      </w:r>
      <w:r>
        <w:rPr>
          <w:szCs w:val="32"/>
        </w:rPr>
        <w:t xml:space="preserve">In 2018, all attendees participated in the general session which was designed to </w:t>
      </w:r>
      <w:r w:rsidR="009F333E">
        <w:rPr>
          <w:szCs w:val="32"/>
        </w:rPr>
        <w:t>cover all topics, resulting in</w:t>
      </w:r>
      <w:r>
        <w:rPr>
          <w:szCs w:val="32"/>
        </w:rPr>
        <w:t xml:space="preserve"> responses articulating varied themes of learning.</w:t>
      </w:r>
      <w:r w:rsidR="00C35D39">
        <w:rPr>
          <w:szCs w:val="32"/>
        </w:rPr>
        <w:t xml:space="preserve"> </w:t>
      </w:r>
      <w:r>
        <w:rPr>
          <w:szCs w:val="32"/>
        </w:rPr>
        <w:t>However, when attendees selected which session based on topic they wanted to attend, learning became specific by theme and role.</w:t>
      </w:r>
      <w:r w:rsidR="00C35D39">
        <w:rPr>
          <w:szCs w:val="32"/>
        </w:rPr>
        <w:t xml:space="preserve">  </w:t>
      </w:r>
      <w:r w:rsidR="003E6953">
        <w:rPr>
          <w:szCs w:val="32"/>
        </w:rPr>
        <w:t>Delivery of the NECAFS Annual Conference and Meeting was changed in response to the needs of the attendees, resulting in specific and contextual learning.</w:t>
      </w:r>
    </w:p>
    <w:p w14:paraId="5F18DB7B" w14:textId="0430FEF1" w:rsidR="00180D22" w:rsidRDefault="00677BF4" w:rsidP="0078730D">
      <w:pPr>
        <w:rPr>
          <w:i/>
          <w:szCs w:val="26"/>
        </w:rPr>
      </w:pPr>
      <w:r>
        <w:rPr>
          <w:i/>
          <w:sz w:val="26"/>
          <w:szCs w:val="26"/>
        </w:rPr>
        <w:t xml:space="preserve">How will </w:t>
      </w:r>
      <w:r w:rsidR="00FC02EF">
        <w:rPr>
          <w:i/>
          <w:sz w:val="26"/>
          <w:szCs w:val="26"/>
        </w:rPr>
        <w:t>n</w:t>
      </w:r>
      <w:r w:rsidR="00CF1120">
        <w:rPr>
          <w:i/>
          <w:sz w:val="26"/>
          <w:szCs w:val="26"/>
        </w:rPr>
        <w:t xml:space="preserve">ew knowledge </w:t>
      </w:r>
      <w:r w:rsidR="00213A47">
        <w:rPr>
          <w:i/>
          <w:sz w:val="26"/>
          <w:szCs w:val="26"/>
        </w:rPr>
        <w:t>change</w:t>
      </w:r>
      <w:r w:rsidR="00180D22">
        <w:rPr>
          <w:i/>
          <w:sz w:val="26"/>
          <w:szCs w:val="26"/>
        </w:rPr>
        <w:t xml:space="preserve"> your approach to FSMA?</w:t>
      </w:r>
    </w:p>
    <w:p w14:paraId="710756C0" w14:textId="77777777" w:rsidR="008A64F8" w:rsidRDefault="00B215FF" w:rsidP="0078730D">
      <w:r>
        <w:t>Answers to the evaluation question “How will this new knowledge change your approach to FSMA and food safety in general?” resulted in one overwhelming common theme cited by the majority of attendees: new knowledge made respondents feel more prepared and informed as trainers and/or researchers.</w:t>
      </w:r>
      <w:r w:rsidR="00C35D39">
        <w:t xml:space="preserve"> </w:t>
      </w:r>
      <w:r>
        <w:t>Notably, respondents reported that the information learned will be used to enhance their grower trainings.</w:t>
      </w:r>
      <w:r w:rsidR="00C35D39">
        <w:t xml:space="preserve"> </w:t>
      </w:r>
      <w:r>
        <w:t>Having new knowledge of tips and tricks in tra</w:t>
      </w:r>
      <w:r w:rsidR="002731D9">
        <w:t xml:space="preserve">ining delivery, </w:t>
      </w:r>
      <w:r w:rsidR="00A654BD">
        <w:t xml:space="preserve">as well as knowing </w:t>
      </w:r>
      <w:r w:rsidR="002731D9">
        <w:t xml:space="preserve">what </w:t>
      </w:r>
      <w:r>
        <w:t>add-on and supplemental materials</w:t>
      </w:r>
      <w:r w:rsidR="002731D9">
        <w:t xml:space="preserve"> exist and where to find them</w:t>
      </w:r>
      <w:r w:rsidR="00A654BD">
        <w:t>,</w:t>
      </w:r>
      <w:r w:rsidR="002731D9">
        <w:t xml:space="preserve"> </w:t>
      </w:r>
      <w:r w:rsidR="00A654BD">
        <w:t xml:space="preserve">gave </w:t>
      </w:r>
      <w:r w:rsidR="002731D9">
        <w:t>the attendees the ability to supplement and improve educational programs.</w:t>
      </w:r>
      <w:r w:rsidR="00C35D39">
        <w:t xml:space="preserve"> </w:t>
      </w:r>
      <w:r w:rsidR="002731D9">
        <w:t xml:space="preserve">One attendee described their appreciation for </w:t>
      </w:r>
      <w:r w:rsidR="00E13603">
        <w:t>learning</w:t>
      </w:r>
      <w:r w:rsidR="002731D9">
        <w:t xml:space="preserve"> about add-on and supplemental material created by regional colleagues, explaining that it “enables </w:t>
      </w:r>
      <w:r w:rsidR="00E13603">
        <w:t>[</w:t>
      </w:r>
      <w:r w:rsidR="002731D9">
        <w:t>them] to carry out various [teaching] ideas and [educational] work…to improve [their] approach to FSMA and food safety.”</w:t>
      </w:r>
      <w:r w:rsidR="00C35D39">
        <w:t xml:space="preserve"> </w:t>
      </w:r>
      <w:r w:rsidR="00E13603">
        <w:t>Less common themes that also emerged in response to this question included</w:t>
      </w:r>
      <w:r w:rsidR="008A64F8">
        <w:t>:</w:t>
      </w:r>
      <w:r w:rsidR="00E13603">
        <w:t xml:space="preserve"> </w:t>
      </w:r>
    </w:p>
    <w:p w14:paraId="2FFD7470" w14:textId="6FF769EC" w:rsidR="008A64F8" w:rsidRPr="008A64F8" w:rsidRDefault="00E13603" w:rsidP="008A64F8">
      <w:pPr>
        <w:pStyle w:val="ListParagraph"/>
        <w:numPr>
          <w:ilvl w:val="0"/>
          <w:numId w:val="2"/>
        </w:numPr>
        <w:rPr>
          <w:i/>
          <w:szCs w:val="26"/>
        </w:rPr>
      </w:pPr>
      <w:r>
        <w:t>reports that respondents will look for existing resources to use in education and outreach</w:t>
      </w:r>
      <w:r w:rsidR="008A64F8">
        <w:t>,</w:t>
      </w:r>
      <w:r w:rsidR="00A654BD">
        <w:t xml:space="preserve"> </w:t>
      </w:r>
    </w:p>
    <w:p w14:paraId="789CDA00" w14:textId="77777777" w:rsidR="008A64F8" w:rsidRPr="008A64F8" w:rsidRDefault="00940347" w:rsidP="008A64F8">
      <w:pPr>
        <w:pStyle w:val="ListParagraph"/>
        <w:numPr>
          <w:ilvl w:val="0"/>
          <w:numId w:val="2"/>
        </w:numPr>
        <w:rPr>
          <w:i/>
          <w:szCs w:val="26"/>
        </w:rPr>
      </w:pPr>
      <w:r>
        <w:t>respondents gained clarity around FSMA</w:t>
      </w:r>
      <w:r w:rsidR="00A654BD">
        <w:t>,</w:t>
      </w:r>
      <w:r>
        <w:t xml:space="preserve"> </w:t>
      </w:r>
    </w:p>
    <w:p w14:paraId="62D0899C" w14:textId="77777777" w:rsidR="008A64F8" w:rsidRPr="008A64F8" w:rsidRDefault="00940347" w:rsidP="008A64F8">
      <w:pPr>
        <w:pStyle w:val="ListParagraph"/>
        <w:numPr>
          <w:ilvl w:val="0"/>
          <w:numId w:val="2"/>
        </w:numPr>
        <w:rPr>
          <w:i/>
          <w:szCs w:val="26"/>
        </w:rPr>
      </w:pPr>
      <w:r>
        <w:t>allowing them to shape meaningful engagement with partners and stakeholders</w:t>
      </w:r>
      <w:r w:rsidR="00A654BD">
        <w:t>;</w:t>
      </w:r>
      <w:r>
        <w:t xml:space="preserve"> and </w:t>
      </w:r>
    </w:p>
    <w:p w14:paraId="622912BE" w14:textId="1D78532A" w:rsidR="00E50D30" w:rsidRPr="008A64F8" w:rsidRDefault="00940347" w:rsidP="008A64F8">
      <w:pPr>
        <w:pStyle w:val="ListParagraph"/>
        <w:numPr>
          <w:ilvl w:val="0"/>
          <w:numId w:val="2"/>
        </w:numPr>
        <w:rPr>
          <w:i/>
          <w:szCs w:val="26"/>
        </w:rPr>
      </w:pPr>
      <w:r>
        <w:t>respondents were more likely to try a new approach in education or evaluation.</w:t>
      </w:r>
      <w:r w:rsidR="00C35D39">
        <w:t xml:space="preserve"> </w:t>
      </w:r>
    </w:p>
    <w:p w14:paraId="52CCD847" w14:textId="23D5B3C2" w:rsidR="009C68ED" w:rsidRDefault="00E20FAC" w:rsidP="0078730D">
      <w:pPr>
        <w:rPr>
          <w:i/>
        </w:rPr>
      </w:pPr>
      <w:r>
        <w:rPr>
          <w:i/>
          <w:sz w:val="26"/>
          <w:szCs w:val="26"/>
        </w:rPr>
        <w:t>How wil</w:t>
      </w:r>
      <w:r w:rsidR="006D2A6D">
        <w:rPr>
          <w:i/>
          <w:sz w:val="26"/>
          <w:szCs w:val="26"/>
        </w:rPr>
        <w:t xml:space="preserve">l new </w:t>
      </w:r>
      <w:r w:rsidR="00213A47">
        <w:rPr>
          <w:i/>
          <w:sz w:val="26"/>
          <w:szCs w:val="26"/>
        </w:rPr>
        <w:t>relationship</w:t>
      </w:r>
      <w:r w:rsidR="006D2A6D">
        <w:rPr>
          <w:i/>
          <w:sz w:val="26"/>
          <w:szCs w:val="26"/>
        </w:rPr>
        <w:t>s</w:t>
      </w:r>
      <w:r w:rsidR="00CF1120">
        <w:rPr>
          <w:i/>
          <w:sz w:val="26"/>
          <w:szCs w:val="26"/>
        </w:rPr>
        <w:t xml:space="preserve"> change your approach to FSMA?</w:t>
      </w:r>
    </w:p>
    <w:p w14:paraId="42E55136" w14:textId="77777777" w:rsidR="003727ED" w:rsidRDefault="00991A46" w:rsidP="00991A46">
      <w:r>
        <w:t>When asked “Did you meet someone new?” 68 (100%) respondents answered “Yes.”</w:t>
      </w:r>
      <w:r w:rsidR="00C35D39">
        <w:t xml:space="preserve"> </w:t>
      </w:r>
      <w:r>
        <w:t xml:space="preserve">Attendees were asked “How do you expect this new relationship to change your approach to FSMA and food safety in general?” Two </w:t>
      </w:r>
      <w:r w:rsidR="001A2445">
        <w:t xml:space="preserve">dominant </w:t>
      </w:r>
      <w:r>
        <w:t xml:space="preserve">themes emerged: </w:t>
      </w:r>
    </w:p>
    <w:p w14:paraId="3503199E" w14:textId="0AA7F126" w:rsidR="003727ED" w:rsidRDefault="00991A46" w:rsidP="003727ED">
      <w:pPr>
        <w:pStyle w:val="ListParagraph"/>
        <w:numPr>
          <w:ilvl w:val="0"/>
          <w:numId w:val="3"/>
        </w:numPr>
      </w:pPr>
      <w:r>
        <w:t xml:space="preserve">change will occur through enhanced networking and </w:t>
      </w:r>
    </w:p>
    <w:p w14:paraId="4EAE48F9" w14:textId="77777777" w:rsidR="003727ED" w:rsidRDefault="00991A46" w:rsidP="003727ED">
      <w:pPr>
        <w:pStyle w:val="ListParagraph"/>
        <w:numPr>
          <w:ilvl w:val="0"/>
          <w:numId w:val="3"/>
        </w:numPr>
      </w:pPr>
      <w:r>
        <w:t>improved communication and through opportunities created for collaboration.</w:t>
      </w:r>
      <w:r w:rsidR="00C35D39">
        <w:t xml:space="preserve"> </w:t>
      </w:r>
    </w:p>
    <w:p w14:paraId="585DD305" w14:textId="4EEBFF4F" w:rsidR="00940347" w:rsidRDefault="00991A46" w:rsidP="003727ED">
      <w:r>
        <w:t xml:space="preserve">Respondents described either broadly or specifically how these new relationship(s) </w:t>
      </w:r>
      <w:r w:rsidR="00A654BD">
        <w:t xml:space="preserve">will </w:t>
      </w:r>
      <w:r>
        <w:t>provide for enhanced networking, communication and collaboration.</w:t>
      </w:r>
      <w:r w:rsidR="00C35D39">
        <w:t xml:space="preserve"> </w:t>
      </w:r>
      <w:r>
        <w:t xml:space="preserve">For example, some respondents explained planned intentions to collaborate to reach new audiences with training, explore more direct </w:t>
      </w:r>
      <w:r>
        <w:lastRenderedPageBreak/>
        <w:t xml:space="preserve">relationship with federal partners, </w:t>
      </w:r>
      <w:r w:rsidR="00E73EA2">
        <w:t>and</w:t>
      </w:r>
      <w:r w:rsidR="00A654BD">
        <w:t>/or</w:t>
      </w:r>
      <w:r w:rsidR="00E73EA2">
        <w:t xml:space="preserve"> send questions to colleagues.</w:t>
      </w:r>
      <w:r w:rsidR="00C35D39">
        <w:t xml:space="preserve"> </w:t>
      </w:r>
      <w:r w:rsidR="00A654BD">
        <w:t>R</w:t>
      </w:r>
      <w:r w:rsidR="00E73EA2">
        <w:t>espondents cited that these new relationship(s) “are very important for successful and uniform program development,” and a “valuable resource moving forward with PSR implementation,” and that bringing together the entire produce safety co</w:t>
      </w:r>
      <w:r w:rsidR="00BC478A">
        <w:t>mmunity provides for “continued…</w:t>
      </w:r>
      <w:r w:rsidR="00E73EA2">
        <w:t xml:space="preserve">collaboration to identify gaps in federal support and reduce redundancy across programs” </w:t>
      </w:r>
      <w:r w:rsidR="00A654BD">
        <w:t>and</w:t>
      </w:r>
      <w:r w:rsidR="00E73EA2">
        <w:t xml:space="preserve"> “increases int</w:t>
      </w:r>
      <w:r w:rsidR="00BC478A">
        <w:t>eraction with and knowledge</w:t>
      </w:r>
      <w:r w:rsidR="002B26A5">
        <w:t xml:space="preserve"> [of]</w:t>
      </w:r>
      <w:r w:rsidR="00E73EA2">
        <w:t xml:space="preserve">” </w:t>
      </w:r>
      <w:r w:rsidR="00BC478A">
        <w:t xml:space="preserve">all </w:t>
      </w:r>
      <w:r w:rsidR="00E73EA2">
        <w:t>partners working in food safety.</w:t>
      </w:r>
      <w:r w:rsidR="00C35D39">
        <w:t xml:space="preserve"> </w:t>
      </w:r>
    </w:p>
    <w:p w14:paraId="69BA11E2" w14:textId="77777777" w:rsidR="003727ED" w:rsidRDefault="00F6313D" w:rsidP="00F6313D">
      <w:r>
        <w:t>Several subthemes also emerged in response to this question, i</w:t>
      </w:r>
      <w:r w:rsidR="00301F64">
        <w:t xml:space="preserve">ncluding: </w:t>
      </w:r>
    </w:p>
    <w:p w14:paraId="63FD8A8D" w14:textId="77777777" w:rsidR="003727ED" w:rsidRDefault="00301F64" w:rsidP="003727ED">
      <w:pPr>
        <w:pStyle w:val="ListParagraph"/>
        <w:numPr>
          <w:ilvl w:val="0"/>
          <w:numId w:val="4"/>
        </w:numPr>
      </w:pPr>
      <w:r>
        <w:t>sharing of resources,</w:t>
      </w:r>
      <w:r w:rsidR="00F6313D">
        <w:t xml:space="preserve"> </w:t>
      </w:r>
    </w:p>
    <w:p w14:paraId="36241864" w14:textId="77777777" w:rsidR="003727ED" w:rsidRDefault="00301F64" w:rsidP="003727ED">
      <w:pPr>
        <w:pStyle w:val="ListParagraph"/>
        <w:numPr>
          <w:ilvl w:val="0"/>
          <w:numId w:val="4"/>
        </w:numPr>
      </w:pPr>
      <w:r>
        <w:t>enhancement of current projects</w:t>
      </w:r>
      <w:r w:rsidR="00F6313D">
        <w:t>,</w:t>
      </w:r>
      <w:r>
        <w:t xml:space="preserve"> and</w:t>
      </w:r>
      <w:r w:rsidR="00F6313D">
        <w:t xml:space="preserve"> </w:t>
      </w:r>
    </w:p>
    <w:p w14:paraId="171E9934" w14:textId="22B28850" w:rsidR="00F6313D" w:rsidRDefault="00F6313D" w:rsidP="003727ED">
      <w:pPr>
        <w:pStyle w:val="ListParagraph"/>
        <w:numPr>
          <w:ilvl w:val="0"/>
          <w:numId w:val="4"/>
        </w:numPr>
      </w:pPr>
      <w:r>
        <w:t>coordination that leads to enhanced project outputs.</w:t>
      </w:r>
      <w:r w:rsidR="00C35D39">
        <w:t xml:space="preserve"> </w:t>
      </w:r>
    </w:p>
    <w:p w14:paraId="5C3B499A" w14:textId="4A398A1B" w:rsidR="00301F64" w:rsidRDefault="001736A1" w:rsidP="0078730D">
      <w:pPr>
        <w:rPr>
          <w:i/>
        </w:rPr>
      </w:pPr>
      <w:r>
        <w:rPr>
          <w:i/>
          <w:sz w:val="26"/>
          <w:szCs w:val="26"/>
        </w:rPr>
        <w:t>What f</w:t>
      </w:r>
      <w:r w:rsidR="007F617E">
        <w:rPr>
          <w:i/>
          <w:sz w:val="26"/>
          <w:szCs w:val="26"/>
        </w:rPr>
        <w:t>ood safety challenge</w:t>
      </w:r>
      <w:r w:rsidR="00AC03AD">
        <w:rPr>
          <w:i/>
          <w:sz w:val="26"/>
          <w:szCs w:val="26"/>
        </w:rPr>
        <w:t>s</w:t>
      </w:r>
      <w:r w:rsidR="007F617E">
        <w:rPr>
          <w:i/>
          <w:sz w:val="26"/>
          <w:szCs w:val="26"/>
        </w:rPr>
        <w:t xml:space="preserve"> </w:t>
      </w:r>
      <w:r w:rsidR="00A654BD">
        <w:rPr>
          <w:i/>
          <w:sz w:val="26"/>
          <w:szCs w:val="26"/>
        </w:rPr>
        <w:t xml:space="preserve">do </w:t>
      </w:r>
      <w:r w:rsidR="007F617E">
        <w:rPr>
          <w:i/>
          <w:sz w:val="26"/>
          <w:szCs w:val="26"/>
        </w:rPr>
        <w:t>you see?</w:t>
      </w:r>
    </w:p>
    <w:p w14:paraId="0707FBED" w14:textId="77777777" w:rsidR="007C2285" w:rsidRDefault="00301F64" w:rsidP="0078730D">
      <w:pPr>
        <w:rPr>
          <w:szCs w:val="26"/>
        </w:rPr>
      </w:pPr>
      <w:r>
        <w:rPr>
          <w:szCs w:val="26"/>
        </w:rPr>
        <w:t>Answers to the evaluation question “What is the key food safety challenge you see in our region and/or in your state?” resulted in three equally ranking themes including</w:t>
      </w:r>
      <w:r w:rsidR="007C2285">
        <w:rPr>
          <w:szCs w:val="26"/>
        </w:rPr>
        <w:t>:</w:t>
      </w:r>
      <w:r>
        <w:rPr>
          <w:szCs w:val="26"/>
        </w:rPr>
        <w:t xml:space="preserve"> </w:t>
      </w:r>
    </w:p>
    <w:p w14:paraId="08AD4E9C" w14:textId="77777777" w:rsidR="007C2285" w:rsidRDefault="00301F64" w:rsidP="007C2285">
      <w:pPr>
        <w:pStyle w:val="ListParagraph"/>
        <w:numPr>
          <w:ilvl w:val="0"/>
          <w:numId w:val="5"/>
        </w:numPr>
        <w:rPr>
          <w:szCs w:val="26"/>
        </w:rPr>
      </w:pPr>
      <w:r w:rsidRPr="007C2285">
        <w:rPr>
          <w:szCs w:val="26"/>
        </w:rPr>
        <w:t xml:space="preserve">need for communication, research, education and qualified </w:t>
      </w:r>
      <w:r w:rsidR="00A654BD" w:rsidRPr="007C2285">
        <w:rPr>
          <w:szCs w:val="26"/>
        </w:rPr>
        <w:t>personnel</w:t>
      </w:r>
      <w:r w:rsidR="007C2285">
        <w:rPr>
          <w:szCs w:val="26"/>
        </w:rPr>
        <w:t xml:space="preserve">, </w:t>
      </w:r>
    </w:p>
    <w:p w14:paraId="4090CC73" w14:textId="77777777" w:rsidR="007C2285" w:rsidRDefault="00301F64" w:rsidP="007C2285">
      <w:pPr>
        <w:pStyle w:val="ListParagraph"/>
        <w:numPr>
          <w:ilvl w:val="0"/>
          <w:numId w:val="5"/>
        </w:numPr>
        <w:rPr>
          <w:szCs w:val="26"/>
        </w:rPr>
      </w:pPr>
      <w:r w:rsidRPr="007C2285">
        <w:rPr>
          <w:szCs w:val="26"/>
        </w:rPr>
        <w:t xml:space="preserve">implementation </w:t>
      </w:r>
      <w:r w:rsidR="00A654BD" w:rsidRPr="007C2285">
        <w:rPr>
          <w:szCs w:val="26"/>
        </w:rPr>
        <w:t xml:space="preserve">of </w:t>
      </w:r>
      <w:r w:rsidRPr="007C2285">
        <w:rPr>
          <w:szCs w:val="26"/>
        </w:rPr>
        <w:t xml:space="preserve">and compliance </w:t>
      </w:r>
      <w:r w:rsidR="00A654BD" w:rsidRPr="007C2285">
        <w:rPr>
          <w:szCs w:val="26"/>
        </w:rPr>
        <w:t>with</w:t>
      </w:r>
      <w:r w:rsidR="007C2285">
        <w:rPr>
          <w:szCs w:val="26"/>
        </w:rPr>
        <w:t xml:space="preserve"> FSMA, and </w:t>
      </w:r>
    </w:p>
    <w:p w14:paraId="71CECC2D" w14:textId="77777777" w:rsidR="007C2285" w:rsidRDefault="00301F64" w:rsidP="007C2285">
      <w:pPr>
        <w:pStyle w:val="ListParagraph"/>
        <w:numPr>
          <w:ilvl w:val="0"/>
          <w:numId w:val="5"/>
        </w:numPr>
        <w:rPr>
          <w:szCs w:val="26"/>
        </w:rPr>
      </w:pPr>
      <w:r w:rsidRPr="007C2285">
        <w:rPr>
          <w:szCs w:val="26"/>
        </w:rPr>
        <w:t>engagement of hard to reach audiences.</w:t>
      </w:r>
      <w:r w:rsidR="00C35D39" w:rsidRPr="007C2285">
        <w:rPr>
          <w:szCs w:val="26"/>
        </w:rPr>
        <w:t xml:space="preserve"> </w:t>
      </w:r>
    </w:p>
    <w:p w14:paraId="065BE032" w14:textId="77777777" w:rsidR="007C2285" w:rsidRDefault="00301F64" w:rsidP="007C2285">
      <w:pPr>
        <w:rPr>
          <w:szCs w:val="26"/>
        </w:rPr>
      </w:pPr>
      <w:r w:rsidRPr="007C2285">
        <w:rPr>
          <w:szCs w:val="26"/>
        </w:rPr>
        <w:t xml:space="preserve">Subthemes also emerged, including: </w:t>
      </w:r>
    </w:p>
    <w:p w14:paraId="0B4B8F75" w14:textId="77777777" w:rsidR="007C2285" w:rsidRDefault="00301F64" w:rsidP="007C2285">
      <w:pPr>
        <w:pStyle w:val="ListParagraph"/>
        <w:numPr>
          <w:ilvl w:val="0"/>
          <w:numId w:val="6"/>
        </w:numPr>
        <w:rPr>
          <w:szCs w:val="26"/>
        </w:rPr>
      </w:pPr>
      <w:r w:rsidRPr="007C2285">
        <w:rPr>
          <w:szCs w:val="26"/>
        </w:rPr>
        <w:t xml:space="preserve">lack of funding, </w:t>
      </w:r>
    </w:p>
    <w:p w14:paraId="140A8707" w14:textId="77777777" w:rsidR="007C2285" w:rsidRDefault="00301F64" w:rsidP="007C2285">
      <w:pPr>
        <w:pStyle w:val="ListParagraph"/>
        <w:numPr>
          <w:ilvl w:val="0"/>
          <w:numId w:val="6"/>
        </w:numPr>
        <w:rPr>
          <w:szCs w:val="26"/>
        </w:rPr>
      </w:pPr>
      <w:r w:rsidRPr="007C2285">
        <w:rPr>
          <w:szCs w:val="26"/>
        </w:rPr>
        <w:t xml:space="preserve">audits and inspections, and </w:t>
      </w:r>
    </w:p>
    <w:p w14:paraId="50AB2892" w14:textId="2CF5ACAF" w:rsidR="00301F64" w:rsidRPr="007C2285" w:rsidRDefault="00301F64" w:rsidP="007C2285">
      <w:pPr>
        <w:pStyle w:val="ListParagraph"/>
        <w:numPr>
          <w:ilvl w:val="0"/>
          <w:numId w:val="6"/>
        </w:numPr>
        <w:rPr>
          <w:szCs w:val="26"/>
        </w:rPr>
      </w:pPr>
      <w:r w:rsidRPr="007C2285">
        <w:rPr>
          <w:szCs w:val="26"/>
        </w:rPr>
        <w:t>inconsistency of implementation across the region</w:t>
      </w:r>
      <w:r w:rsidR="007C2285">
        <w:rPr>
          <w:szCs w:val="26"/>
        </w:rPr>
        <w:t>.</w:t>
      </w:r>
      <w:r w:rsidRPr="007C2285">
        <w:rPr>
          <w:szCs w:val="26"/>
        </w:rPr>
        <w:t xml:space="preserve"> </w:t>
      </w:r>
      <w:r w:rsidR="007C2285">
        <w:rPr>
          <w:szCs w:val="26"/>
        </w:rPr>
        <w:t>(A</w:t>
      </w:r>
      <w:r w:rsidRPr="007C2285">
        <w:rPr>
          <w:szCs w:val="26"/>
        </w:rPr>
        <w:t xml:space="preserve">lthough only </w:t>
      </w:r>
      <w:r w:rsidR="00A654BD" w:rsidRPr="007C2285">
        <w:rPr>
          <w:szCs w:val="26"/>
        </w:rPr>
        <w:t xml:space="preserve">two </w:t>
      </w:r>
      <w:r w:rsidRPr="007C2285">
        <w:rPr>
          <w:szCs w:val="26"/>
        </w:rPr>
        <w:t>responde</w:t>
      </w:r>
      <w:r w:rsidR="00A654BD" w:rsidRPr="007C2285">
        <w:rPr>
          <w:szCs w:val="26"/>
        </w:rPr>
        <w:t>nts</w:t>
      </w:r>
      <w:r w:rsidRPr="007C2285">
        <w:rPr>
          <w:szCs w:val="26"/>
        </w:rPr>
        <w:t xml:space="preserve"> cited </w:t>
      </w:r>
      <w:r w:rsidR="00A654BD" w:rsidRPr="007C2285">
        <w:rPr>
          <w:szCs w:val="26"/>
        </w:rPr>
        <w:t>th</w:t>
      </w:r>
      <w:r w:rsidR="007C2285">
        <w:rPr>
          <w:szCs w:val="26"/>
        </w:rPr>
        <w:t>is</w:t>
      </w:r>
      <w:r w:rsidR="00A654BD" w:rsidRPr="007C2285">
        <w:rPr>
          <w:szCs w:val="26"/>
        </w:rPr>
        <w:t xml:space="preserve"> challenge</w:t>
      </w:r>
      <w:r w:rsidR="007C2285">
        <w:rPr>
          <w:szCs w:val="26"/>
        </w:rPr>
        <w:t>).</w:t>
      </w:r>
    </w:p>
    <w:p w14:paraId="4A61E829" w14:textId="2CAB4CCE" w:rsidR="00301F64" w:rsidRDefault="00301F64" w:rsidP="0078730D">
      <w:pPr>
        <w:rPr>
          <w:szCs w:val="26"/>
        </w:rPr>
      </w:pPr>
      <w:r>
        <w:rPr>
          <w:szCs w:val="26"/>
        </w:rPr>
        <w:t xml:space="preserve">Respondents were particularly concerned with challenges surrounding the readiness of </w:t>
      </w:r>
      <w:r>
        <w:t xml:space="preserve">the </w:t>
      </w:r>
      <w:r w:rsidR="002B26A5">
        <w:t xml:space="preserve">stakeholders </w:t>
      </w:r>
      <w:r>
        <w:t>engaged in FSMA</w:t>
      </w:r>
      <w:r w:rsidR="00A654BD">
        <w:t xml:space="preserve"> compliance</w:t>
      </w:r>
      <w:r>
        <w:t>.</w:t>
      </w:r>
      <w:r w:rsidR="00C35D39">
        <w:t xml:space="preserve"> </w:t>
      </w:r>
      <w:r>
        <w:t xml:space="preserve">Specifically, </w:t>
      </w:r>
      <w:r w:rsidR="00A654BD">
        <w:t xml:space="preserve">attendees expressed difficulty in </w:t>
      </w:r>
      <w:r>
        <w:rPr>
          <w:szCs w:val="26"/>
        </w:rPr>
        <w:t>communication to the buying community and clarifying</w:t>
      </w:r>
      <w:r w:rsidR="00A654BD">
        <w:rPr>
          <w:szCs w:val="26"/>
        </w:rPr>
        <w:t>/rectifying</w:t>
      </w:r>
      <w:r>
        <w:rPr>
          <w:szCs w:val="26"/>
        </w:rPr>
        <w:t xml:space="preserve"> compliance requirements with buyer expectations</w:t>
      </w:r>
      <w:r w:rsidR="00315D3C">
        <w:rPr>
          <w:szCs w:val="26"/>
        </w:rPr>
        <w:t>.</w:t>
      </w:r>
      <w:r w:rsidR="00C35D39">
        <w:rPr>
          <w:szCs w:val="26"/>
        </w:rPr>
        <w:t xml:space="preserve"> </w:t>
      </w:r>
      <w:r w:rsidR="00315D3C">
        <w:rPr>
          <w:szCs w:val="26"/>
        </w:rPr>
        <w:t xml:space="preserve">Also, respondents explained that there are not enough educators </w:t>
      </w:r>
      <w:r w:rsidR="00A654BD">
        <w:rPr>
          <w:szCs w:val="26"/>
        </w:rPr>
        <w:t xml:space="preserve">who </w:t>
      </w:r>
      <w:r w:rsidR="00315D3C">
        <w:rPr>
          <w:szCs w:val="26"/>
        </w:rPr>
        <w:t xml:space="preserve">understand the regulation to support the number of farms that need to make changes or upgrades to meet FSMA requirements. Finally, attendees reported that messaging from </w:t>
      </w:r>
      <w:r w:rsidR="00A654BD">
        <w:rPr>
          <w:szCs w:val="26"/>
        </w:rPr>
        <w:t xml:space="preserve">educators </w:t>
      </w:r>
      <w:r w:rsidR="00315D3C">
        <w:rPr>
          <w:szCs w:val="26"/>
        </w:rPr>
        <w:t>and regulat</w:t>
      </w:r>
      <w:r w:rsidR="00A654BD">
        <w:rPr>
          <w:szCs w:val="26"/>
        </w:rPr>
        <w:t>ors</w:t>
      </w:r>
      <w:r w:rsidR="00315D3C">
        <w:rPr>
          <w:szCs w:val="26"/>
        </w:rPr>
        <w:t xml:space="preserve"> to growers and </w:t>
      </w:r>
      <w:r w:rsidR="00A654BD">
        <w:rPr>
          <w:szCs w:val="26"/>
        </w:rPr>
        <w:t xml:space="preserve">processors </w:t>
      </w:r>
      <w:r w:rsidR="00315D3C">
        <w:rPr>
          <w:szCs w:val="26"/>
        </w:rPr>
        <w:t xml:space="preserve">is not always consistent </w:t>
      </w:r>
      <w:r w:rsidR="00A654BD">
        <w:rPr>
          <w:szCs w:val="26"/>
        </w:rPr>
        <w:t>(leading</w:t>
      </w:r>
      <w:r w:rsidR="00315D3C">
        <w:rPr>
          <w:szCs w:val="26"/>
        </w:rPr>
        <w:t xml:space="preserve"> to confusion, reduced awareness and loss of trust</w:t>
      </w:r>
      <w:r w:rsidR="00A654BD">
        <w:rPr>
          <w:szCs w:val="26"/>
        </w:rPr>
        <w:t>)</w:t>
      </w:r>
      <w:r w:rsidR="00315D3C">
        <w:rPr>
          <w:szCs w:val="26"/>
        </w:rPr>
        <w:t>.</w:t>
      </w:r>
    </w:p>
    <w:p w14:paraId="646BDF88" w14:textId="77777777" w:rsidR="00286934" w:rsidRDefault="00C77B6D" w:rsidP="0078730D">
      <w:pPr>
        <w:rPr>
          <w:szCs w:val="26"/>
        </w:rPr>
      </w:pPr>
      <w:r>
        <w:rPr>
          <w:szCs w:val="26"/>
        </w:rPr>
        <w:t>Respondents reported challenges around implementation and compliance of FSMA for various reasons.</w:t>
      </w:r>
      <w:r w:rsidR="00C35D39">
        <w:rPr>
          <w:szCs w:val="26"/>
        </w:rPr>
        <w:t xml:space="preserve"> </w:t>
      </w:r>
      <w:r>
        <w:rPr>
          <w:szCs w:val="26"/>
        </w:rPr>
        <w:t xml:space="preserve">Producers and </w:t>
      </w:r>
      <w:r w:rsidR="00A654BD">
        <w:rPr>
          <w:szCs w:val="26"/>
        </w:rPr>
        <w:t xml:space="preserve">processors </w:t>
      </w:r>
      <w:r>
        <w:rPr>
          <w:szCs w:val="26"/>
        </w:rPr>
        <w:t>need support in taking the “critical steps for compliance.”</w:t>
      </w:r>
      <w:r w:rsidR="00C35D39">
        <w:rPr>
          <w:szCs w:val="26"/>
        </w:rPr>
        <w:t xml:space="preserve"> </w:t>
      </w:r>
      <w:r>
        <w:rPr>
          <w:szCs w:val="26"/>
        </w:rPr>
        <w:t>On-farm implementation needs are wide-ranging with respondents citing</w:t>
      </w:r>
      <w:r w:rsidR="00286934">
        <w:rPr>
          <w:szCs w:val="26"/>
        </w:rPr>
        <w:t>:</w:t>
      </w:r>
      <w:r>
        <w:rPr>
          <w:szCs w:val="26"/>
        </w:rPr>
        <w:t xml:space="preserve"> </w:t>
      </w:r>
    </w:p>
    <w:p w14:paraId="6D28646F" w14:textId="77777777" w:rsidR="00286934" w:rsidRDefault="00D914E2" w:rsidP="00286934">
      <w:pPr>
        <w:pStyle w:val="ListParagraph"/>
        <w:numPr>
          <w:ilvl w:val="0"/>
          <w:numId w:val="7"/>
        </w:numPr>
        <w:rPr>
          <w:szCs w:val="26"/>
        </w:rPr>
      </w:pPr>
      <w:r w:rsidRPr="00286934">
        <w:rPr>
          <w:szCs w:val="26"/>
        </w:rPr>
        <w:t xml:space="preserve">pre- and post-harvest sanitation, </w:t>
      </w:r>
    </w:p>
    <w:p w14:paraId="5C44D300" w14:textId="77777777" w:rsidR="00286934" w:rsidRDefault="00D914E2" w:rsidP="00286934">
      <w:pPr>
        <w:pStyle w:val="ListParagraph"/>
        <w:numPr>
          <w:ilvl w:val="0"/>
          <w:numId w:val="7"/>
        </w:numPr>
        <w:rPr>
          <w:szCs w:val="26"/>
        </w:rPr>
      </w:pPr>
      <w:r w:rsidRPr="00286934">
        <w:rPr>
          <w:szCs w:val="26"/>
        </w:rPr>
        <w:t xml:space="preserve">inadequate worker training on health and hygiene, </w:t>
      </w:r>
    </w:p>
    <w:p w14:paraId="18436DF0" w14:textId="77777777" w:rsidR="00286934" w:rsidRDefault="00D914E2" w:rsidP="00286934">
      <w:pPr>
        <w:pStyle w:val="ListParagraph"/>
        <w:numPr>
          <w:ilvl w:val="0"/>
          <w:numId w:val="7"/>
        </w:numPr>
        <w:rPr>
          <w:szCs w:val="26"/>
        </w:rPr>
      </w:pPr>
      <w:r w:rsidRPr="00286934">
        <w:rPr>
          <w:szCs w:val="26"/>
        </w:rPr>
        <w:t xml:space="preserve">infrastructure, </w:t>
      </w:r>
    </w:p>
    <w:p w14:paraId="2A407AAC" w14:textId="77777777" w:rsidR="00286934" w:rsidRDefault="00D914E2" w:rsidP="00286934">
      <w:pPr>
        <w:pStyle w:val="ListParagraph"/>
        <w:numPr>
          <w:ilvl w:val="0"/>
          <w:numId w:val="7"/>
        </w:numPr>
        <w:rPr>
          <w:szCs w:val="26"/>
        </w:rPr>
      </w:pPr>
      <w:r w:rsidRPr="00286934">
        <w:rPr>
          <w:szCs w:val="26"/>
        </w:rPr>
        <w:t xml:space="preserve">recognition of </w:t>
      </w:r>
      <w:r w:rsidR="00A654BD" w:rsidRPr="00286934">
        <w:rPr>
          <w:szCs w:val="26"/>
        </w:rPr>
        <w:t xml:space="preserve">the </w:t>
      </w:r>
      <w:r w:rsidRPr="00286934">
        <w:rPr>
          <w:szCs w:val="26"/>
        </w:rPr>
        <w:t>difference</w:t>
      </w:r>
      <w:r w:rsidR="00A654BD" w:rsidRPr="00286934">
        <w:rPr>
          <w:szCs w:val="26"/>
        </w:rPr>
        <w:t>s</w:t>
      </w:r>
      <w:r w:rsidRPr="00286934">
        <w:rPr>
          <w:szCs w:val="26"/>
        </w:rPr>
        <w:t xml:space="preserve"> between cleaning and sanitizing, </w:t>
      </w:r>
    </w:p>
    <w:p w14:paraId="412520D7" w14:textId="77777777" w:rsidR="00286934" w:rsidRDefault="00D914E2" w:rsidP="00286934">
      <w:pPr>
        <w:pStyle w:val="ListParagraph"/>
        <w:numPr>
          <w:ilvl w:val="0"/>
          <w:numId w:val="7"/>
        </w:numPr>
        <w:rPr>
          <w:szCs w:val="26"/>
        </w:rPr>
      </w:pPr>
      <w:r w:rsidRPr="00286934">
        <w:rPr>
          <w:szCs w:val="26"/>
        </w:rPr>
        <w:t xml:space="preserve">pack house upgrades, and </w:t>
      </w:r>
    </w:p>
    <w:p w14:paraId="20D709A4" w14:textId="77777777" w:rsidR="00286934" w:rsidRDefault="00D914E2" w:rsidP="00286934">
      <w:pPr>
        <w:pStyle w:val="ListParagraph"/>
        <w:numPr>
          <w:ilvl w:val="0"/>
          <w:numId w:val="7"/>
        </w:numPr>
        <w:rPr>
          <w:szCs w:val="26"/>
        </w:rPr>
      </w:pPr>
      <w:r w:rsidRPr="00286934">
        <w:rPr>
          <w:szCs w:val="26"/>
        </w:rPr>
        <w:t>recordkeeping all as areas of challenge in the region.</w:t>
      </w:r>
      <w:r w:rsidR="00C35D39" w:rsidRPr="00286934">
        <w:rPr>
          <w:szCs w:val="26"/>
        </w:rPr>
        <w:t xml:space="preserve"> </w:t>
      </w:r>
    </w:p>
    <w:p w14:paraId="44D0DE45" w14:textId="6E7F3311" w:rsidR="00C77B6D" w:rsidRPr="00286934" w:rsidRDefault="007B5BB4" w:rsidP="00286934">
      <w:pPr>
        <w:rPr>
          <w:szCs w:val="26"/>
        </w:rPr>
      </w:pPr>
      <w:r w:rsidRPr="00286934">
        <w:rPr>
          <w:szCs w:val="26"/>
        </w:rPr>
        <w:lastRenderedPageBreak/>
        <w:t>Food safety implementation takes dedicated knowledge, time and funding.</w:t>
      </w:r>
      <w:r w:rsidR="00C35D39" w:rsidRPr="00286934">
        <w:rPr>
          <w:szCs w:val="26"/>
        </w:rPr>
        <w:t xml:space="preserve"> </w:t>
      </w:r>
      <w:r w:rsidRPr="00286934">
        <w:rPr>
          <w:szCs w:val="26"/>
        </w:rPr>
        <w:t xml:space="preserve">Resources need to be made available to all members of the food safety community, </w:t>
      </w:r>
      <w:r w:rsidR="00A654BD" w:rsidRPr="00286934">
        <w:rPr>
          <w:szCs w:val="26"/>
        </w:rPr>
        <w:t xml:space="preserve">in order </w:t>
      </w:r>
      <w:r w:rsidRPr="00286934">
        <w:rPr>
          <w:szCs w:val="26"/>
        </w:rPr>
        <w:t xml:space="preserve">to address these challenges. </w:t>
      </w:r>
    </w:p>
    <w:p w14:paraId="2DAB8FF1" w14:textId="7F9FF91B" w:rsidR="007B5BB4" w:rsidRDefault="007B5BB4" w:rsidP="0078730D">
      <w:pPr>
        <w:rPr>
          <w:szCs w:val="26"/>
        </w:rPr>
      </w:pPr>
      <w:r>
        <w:rPr>
          <w:szCs w:val="26"/>
        </w:rPr>
        <w:t xml:space="preserve">Respondents were particularly concerned with challenges surrounding engaging </w:t>
      </w:r>
      <w:r w:rsidR="00BE2593">
        <w:rPr>
          <w:szCs w:val="26"/>
        </w:rPr>
        <w:t>hard-to-</w:t>
      </w:r>
      <w:r>
        <w:rPr>
          <w:szCs w:val="26"/>
        </w:rPr>
        <w:t>reach audiences.</w:t>
      </w:r>
      <w:r w:rsidR="00C35D39">
        <w:rPr>
          <w:szCs w:val="26"/>
        </w:rPr>
        <w:t xml:space="preserve"> </w:t>
      </w:r>
      <w:r>
        <w:rPr>
          <w:szCs w:val="26"/>
        </w:rPr>
        <w:t xml:space="preserve">Respondents reported that they struggle with reaching industry stakeholders who are impacted by </w:t>
      </w:r>
      <w:r w:rsidR="002B26A5">
        <w:rPr>
          <w:szCs w:val="26"/>
        </w:rPr>
        <w:t>FSMA</w:t>
      </w:r>
      <w:r>
        <w:rPr>
          <w:szCs w:val="26"/>
        </w:rPr>
        <w:t>, but who think that it does not apply to them or are unaware of it.</w:t>
      </w:r>
      <w:r w:rsidR="00C35D39">
        <w:rPr>
          <w:szCs w:val="26"/>
        </w:rPr>
        <w:t xml:space="preserve"> </w:t>
      </w:r>
      <w:r>
        <w:rPr>
          <w:szCs w:val="26"/>
        </w:rPr>
        <w:t xml:space="preserve">Several respondents articulated the need to engage growers to inform </w:t>
      </w:r>
      <w:r w:rsidR="00F93DF0">
        <w:rPr>
          <w:szCs w:val="26"/>
        </w:rPr>
        <w:t xml:space="preserve">and build state farm inventories in order to establish inspectional programs. </w:t>
      </w:r>
    </w:p>
    <w:p w14:paraId="6A9FF4B0" w14:textId="4B9566A3" w:rsidR="00F93DF0" w:rsidRPr="00F93DF0" w:rsidRDefault="00F93DF0" w:rsidP="0078730D">
      <w:pPr>
        <w:rPr>
          <w:szCs w:val="26"/>
        </w:rPr>
      </w:pPr>
      <w:r>
        <w:rPr>
          <w:szCs w:val="26"/>
        </w:rPr>
        <w:t xml:space="preserve">The challenges identified by the </w:t>
      </w:r>
      <w:r w:rsidR="00BE2593">
        <w:rPr>
          <w:szCs w:val="26"/>
        </w:rPr>
        <w:t xml:space="preserve">2019 </w:t>
      </w:r>
      <w:r>
        <w:rPr>
          <w:szCs w:val="26"/>
        </w:rPr>
        <w:t xml:space="preserve">respondents changed since the 2018 NECAFS Annual Conference and Meeting, with a much greater </w:t>
      </w:r>
      <w:r w:rsidR="00BE2593">
        <w:rPr>
          <w:szCs w:val="26"/>
        </w:rPr>
        <w:t>concern over</w:t>
      </w:r>
      <w:r>
        <w:rPr>
          <w:szCs w:val="26"/>
        </w:rPr>
        <w:t xml:space="preserve"> implementation and compliance </w:t>
      </w:r>
      <w:r w:rsidR="00BE2593">
        <w:rPr>
          <w:szCs w:val="26"/>
        </w:rPr>
        <w:t xml:space="preserve">with </w:t>
      </w:r>
      <w:r>
        <w:rPr>
          <w:szCs w:val="26"/>
        </w:rPr>
        <w:t>FSMA in 2019.</w:t>
      </w:r>
      <w:r w:rsidR="00C35D39">
        <w:rPr>
          <w:szCs w:val="26"/>
        </w:rPr>
        <w:t xml:space="preserve"> </w:t>
      </w:r>
      <w:r w:rsidR="00BE2593">
        <w:rPr>
          <w:szCs w:val="26"/>
        </w:rPr>
        <w:t>Interestingly,</w:t>
      </w:r>
      <w:r>
        <w:rPr>
          <w:szCs w:val="26"/>
        </w:rPr>
        <w:t xml:space="preserve"> 2018 attendees reported confusion around audits and inspections and inconsistency of implementation across the region as top challenges</w:t>
      </w:r>
      <w:r w:rsidR="00BE2593">
        <w:rPr>
          <w:szCs w:val="26"/>
        </w:rPr>
        <w:t>;</w:t>
      </w:r>
      <w:r>
        <w:rPr>
          <w:szCs w:val="26"/>
        </w:rPr>
        <w:t xml:space="preserve"> in 2019, those themes were identified by fewer than </w:t>
      </w:r>
      <w:r w:rsidR="00BE2593">
        <w:rPr>
          <w:szCs w:val="26"/>
        </w:rPr>
        <w:t xml:space="preserve">five </w:t>
      </w:r>
      <w:r>
        <w:rPr>
          <w:szCs w:val="26"/>
        </w:rPr>
        <w:t xml:space="preserve">respondents. </w:t>
      </w:r>
    </w:p>
    <w:p w14:paraId="2D87AFDB" w14:textId="77777777" w:rsidR="00E70A5F" w:rsidRDefault="00E70A5F" w:rsidP="00E70A5F">
      <w:pPr>
        <w:rPr>
          <w:sz w:val="32"/>
          <w:szCs w:val="32"/>
        </w:rPr>
      </w:pPr>
      <w:r w:rsidRPr="009106BE">
        <w:rPr>
          <w:sz w:val="32"/>
          <w:szCs w:val="32"/>
        </w:rPr>
        <w:t xml:space="preserve">NECAFS </w:t>
      </w:r>
      <w:r>
        <w:rPr>
          <w:sz w:val="32"/>
          <w:szCs w:val="32"/>
        </w:rPr>
        <w:t xml:space="preserve">Ongoing Resources </w:t>
      </w:r>
      <w:r w:rsidRPr="009106BE">
        <w:rPr>
          <w:sz w:val="32"/>
          <w:szCs w:val="32"/>
        </w:rPr>
        <w:t>Impact Results</w:t>
      </w:r>
    </w:p>
    <w:p w14:paraId="052C4866" w14:textId="7809AA2B" w:rsidR="00F93DF0" w:rsidRDefault="00F93DF0" w:rsidP="00DA1046">
      <w:r>
        <w:t xml:space="preserve">Some attendees who needed financial support to attend the </w:t>
      </w:r>
      <w:r w:rsidR="00BE2593">
        <w:t xml:space="preserve">2019 </w:t>
      </w:r>
      <w:r>
        <w:t>Annual Conference and Meeting were offered travel reimbursements to make their attendance possible. These attendees were asked “how importa</w:t>
      </w:r>
      <w:r w:rsidR="00C71C6D">
        <w:t>nt was that support?”</w:t>
      </w:r>
      <w:r w:rsidR="00C35D39">
        <w:t xml:space="preserve"> </w:t>
      </w:r>
      <w:r w:rsidR="00C71C6D">
        <w:t>Of the 39</w:t>
      </w:r>
      <w:r>
        <w:t xml:space="preserve"> attendees </w:t>
      </w:r>
      <w:r w:rsidR="00BE2593">
        <w:t xml:space="preserve">who </w:t>
      </w:r>
      <w:r>
        <w:t>requested financial</w:t>
      </w:r>
      <w:r w:rsidR="00C71C6D">
        <w:t xml:space="preserve"> support, 20 (51%)</w:t>
      </w:r>
      <w:r>
        <w:t xml:space="preserve"> indicated that the support was critical to making their attendance possible while the remaining reported that the support was helpful but that they would have attended the Annual Conference and Meeting without it.</w:t>
      </w:r>
    </w:p>
    <w:p w14:paraId="3C669C88" w14:textId="120AE67E" w:rsidR="00DE54C4" w:rsidRDefault="00DE54C4" w:rsidP="00E70A5F">
      <w:pPr>
        <w:rPr>
          <w:szCs w:val="32"/>
        </w:rPr>
      </w:pPr>
      <w:r>
        <w:t>When asked “Has NECAFS helped you improve your food safety training,</w:t>
      </w:r>
      <w:r w:rsidR="0092103E">
        <w:t xml:space="preserve"> education and/or outreach?” 63 </w:t>
      </w:r>
      <w:r w:rsidR="00EB4D08">
        <w:t>(</w:t>
      </w:r>
      <w:r w:rsidR="00120C63">
        <w:t>9</w:t>
      </w:r>
      <w:r w:rsidR="0092103E">
        <w:t>5</w:t>
      </w:r>
      <w:r w:rsidR="00EB4D08">
        <w:t xml:space="preserve">%) </w:t>
      </w:r>
      <w:r>
        <w:t>respondents answered “Yes.”</w:t>
      </w:r>
      <w:r w:rsidR="00C35D39">
        <w:t xml:space="preserve"> </w:t>
      </w:r>
      <w:r w:rsidR="0090784B">
        <w:t>Answers to the follow-up evaluation question “If so, how?”</w:t>
      </w:r>
      <w:r w:rsidR="00D966B9">
        <w:t xml:space="preserve"> </w:t>
      </w:r>
      <w:r w:rsidR="00D966B9">
        <w:rPr>
          <w:szCs w:val="32"/>
        </w:rPr>
        <w:t xml:space="preserve">resulted in themes </w:t>
      </w:r>
      <w:r w:rsidR="00EB4D08">
        <w:rPr>
          <w:szCs w:val="32"/>
        </w:rPr>
        <w:t>focused on the value of</w:t>
      </w:r>
      <w:r w:rsidR="00D966B9">
        <w:rPr>
          <w:szCs w:val="32"/>
        </w:rPr>
        <w:t xml:space="preserve"> </w:t>
      </w:r>
      <w:r w:rsidR="0092103E">
        <w:rPr>
          <w:szCs w:val="32"/>
        </w:rPr>
        <w:t xml:space="preserve">sharing resources, as well as </w:t>
      </w:r>
      <w:r w:rsidR="00A32F50">
        <w:rPr>
          <w:szCs w:val="32"/>
        </w:rPr>
        <w:t>communication</w:t>
      </w:r>
      <w:r w:rsidR="0092103E">
        <w:rPr>
          <w:szCs w:val="32"/>
        </w:rPr>
        <w:t xml:space="preserve"> and network</w:t>
      </w:r>
      <w:r w:rsidR="004E16BC">
        <w:rPr>
          <w:szCs w:val="32"/>
        </w:rPr>
        <w:t>ing</w:t>
      </w:r>
      <w:r w:rsidR="0092103E">
        <w:rPr>
          <w:szCs w:val="32"/>
        </w:rPr>
        <w:t>, both in general but also that which led to collaborative work.</w:t>
      </w:r>
      <w:r w:rsidR="00C35D39">
        <w:rPr>
          <w:szCs w:val="32"/>
        </w:rPr>
        <w:t xml:space="preserve"> </w:t>
      </w:r>
    </w:p>
    <w:p w14:paraId="10CD7B14" w14:textId="3449F969" w:rsidR="00E220AE" w:rsidRDefault="00E220AE" w:rsidP="00E70A5F">
      <w:pPr>
        <w:rPr>
          <w:szCs w:val="32"/>
        </w:rPr>
      </w:pPr>
      <w:r>
        <w:rPr>
          <w:szCs w:val="32"/>
        </w:rPr>
        <w:t>One attendee stated that networking “with others that have experience with training [and] bringing this information back…[is] invaluable.”</w:t>
      </w:r>
      <w:r w:rsidR="00C35D39">
        <w:rPr>
          <w:szCs w:val="32"/>
        </w:rPr>
        <w:t xml:space="preserve"> </w:t>
      </w:r>
      <w:r>
        <w:rPr>
          <w:szCs w:val="32"/>
        </w:rPr>
        <w:t>Respondents reported that funding from NECAFS to support trainer development has led to “i</w:t>
      </w:r>
      <w:r w:rsidRPr="00E220AE">
        <w:rPr>
          <w:szCs w:val="32"/>
        </w:rPr>
        <w:t>mproved</w:t>
      </w:r>
      <w:r>
        <w:rPr>
          <w:szCs w:val="32"/>
        </w:rPr>
        <w:t>…</w:t>
      </w:r>
      <w:r w:rsidRPr="00E220AE">
        <w:rPr>
          <w:szCs w:val="32"/>
        </w:rPr>
        <w:t>food safety training program</w:t>
      </w:r>
      <w:r>
        <w:rPr>
          <w:szCs w:val="32"/>
        </w:rPr>
        <w:t>[s]</w:t>
      </w:r>
      <w:r w:rsidRPr="00E220AE">
        <w:rPr>
          <w:szCs w:val="32"/>
        </w:rPr>
        <w:t xml:space="preserve"> by providing financial support to get more trainers through train-the-trainer classes.</w:t>
      </w:r>
      <w:r>
        <w:rPr>
          <w:szCs w:val="32"/>
        </w:rPr>
        <w:t>”</w:t>
      </w:r>
    </w:p>
    <w:p w14:paraId="70B5131F" w14:textId="4C3008D6" w:rsidR="00BD08D5" w:rsidRDefault="00BD08D5" w:rsidP="00BD08D5">
      <w:r>
        <w:rPr>
          <w:szCs w:val="32"/>
        </w:rPr>
        <w:t xml:space="preserve">These described themes illustrate a summation of all responses </w:t>
      </w:r>
      <w:r w:rsidRPr="00087E91">
        <w:rPr>
          <w:i/>
          <w:szCs w:val="32"/>
        </w:rPr>
        <w:t>without</w:t>
      </w:r>
      <w:r>
        <w:rPr>
          <w:szCs w:val="32"/>
        </w:rPr>
        <w:t xml:space="preserve"> taking into consideration the role (looking directly at education or government/regulatory) of the individual respondent in the food safety community.</w:t>
      </w:r>
      <w:r w:rsidR="00C35D39">
        <w:rPr>
          <w:szCs w:val="32"/>
        </w:rPr>
        <w:t xml:space="preserve"> </w:t>
      </w:r>
      <w:r>
        <w:t>However, when you sort the responses by role, it is important to see that educator</w:t>
      </w:r>
      <w:r w:rsidR="002905F1">
        <w:t>s</w:t>
      </w:r>
      <w:r>
        <w:t xml:space="preserve"> and </w:t>
      </w:r>
      <w:r w:rsidR="002905F1">
        <w:t xml:space="preserve">regulators </w:t>
      </w:r>
      <w:r>
        <w:t>benefit from NECAFS differently.</w:t>
      </w:r>
      <w:r w:rsidR="00C35D39">
        <w:t xml:space="preserve"> </w:t>
      </w:r>
      <w:r>
        <w:t xml:space="preserve">While </w:t>
      </w:r>
      <w:r w:rsidR="000A7FD2">
        <w:t>NECAFS</w:t>
      </w:r>
      <w:r>
        <w:t xml:space="preserve"> help</w:t>
      </w:r>
      <w:r w:rsidR="000A7FD2">
        <w:t>s</w:t>
      </w:r>
      <w:r>
        <w:t xml:space="preserve"> educators improve food safety outr</w:t>
      </w:r>
      <w:r w:rsidR="000A7FD2">
        <w:t>e</w:t>
      </w:r>
      <w:r>
        <w:t>ach, training</w:t>
      </w:r>
      <w:r w:rsidR="002905F1">
        <w:t>,</w:t>
      </w:r>
      <w:r>
        <w:t xml:space="preserve"> and education through networking leading to collaborative work, it helps regulators </w:t>
      </w:r>
      <w:r w:rsidR="000A7FD2">
        <w:t>through general networking and communication leading to information sharing that informs decision makin</w:t>
      </w:r>
      <w:r w:rsidR="00017D8E">
        <w:t>g.</w:t>
      </w:r>
      <w:r w:rsidR="00C35D39">
        <w:t xml:space="preserve"> </w:t>
      </w:r>
      <w:r w:rsidR="00017D8E">
        <w:t>This articulation is not surprising to see since educators’ primary focus is outreach and education of FSMA across the region and while regulators focus primarily on enforcement in regards to their state</w:t>
      </w:r>
      <w:r w:rsidR="002905F1">
        <w:t>-</w:t>
      </w:r>
      <w:r w:rsidR="00017D8E">
        <w:t xml:space="preserve">specific </w:t>
      </w:r>
      <w:r w:rsidR="004E16BC">
        <w:t>produce safety program</w:t>
      </w:r>
      <w:r w:rsidR="00017D8E">
        <w:t>.</w:t>
      </w:r>
      <w:r w:rsidR="00C35D39">
        <w:t xml:space="preserve"> </w:t>
      </w:r>
      <w:r w:rsidR="00017D8E">
        <w:t xml:space="preserve">NECAFS has engaged actively with both educators and regulators since the beginning of </w:t>
      </w:r>
      <w:r w:rsidR="002905F1">
        <w:t xml:space="preserve">the Center’s </w:t>
      </w:r>
      <w:r w:rsidR="00017D8E">
        <w:t>programming and this engagement has intentionally served to facilitate communication, coordination and collaboration between and among these two groups.</w:t>
      </w:r>
      <w:r w:rsidR="00C35D39">
        <w:t xml:space="preserve"> </w:t>
      </w:r>
      <w:r w:rsidR="00B67CAC">
        <w:t>The framework built to establish NECAFS r</w:t>
      </w:r>
      <w:r w:rsidR="00DA4A80">
        <w:t>esulted from preliminary evaluation</w:t>
      </w:r>
      <w:r w:rsidR="00B67CAC">
        <w:t xml:space="preserve"> and inferred need among</w:t>
      </w:r>
      <w:r w:rsidR="00DA4A80">
        <w:t xml:space="preserve"> </w:t>
      </w:r>
      <w:r w:rsidR="00B67CAC">
        <w:t>initial stakeholder groups.</w:t>
      </w:r>
      <w:r w:rsidR="00DA4A80">
        <w:t xml:space="preserve"> The results summ</w:t>
      </w:r>
      <w:r w:rsidR="004E16BC">
        <w:t xml:space="preserve">arized in </w:t>
      </w:r>
      <w:r w:rsidR="004E16BC" w:rsidRPr="004E16BC">
        <w:rPr>
          <w:b/>
        </w:rPr>
        <w:t>Table 6</w:t>
      </w:r>
      <w:r w:rsidR="00DA4A80">
        <w:t xml:space="preserve"> confirm </w:t>
      </w:r>
      <w:r w:rsidR="002B3420">
        <w:t xml:space="preserve">this early and anecdotal observation of need. </w:t>
      </w:r>
    </w:p>
    <w:p w14:paraId="7B379D5E" w14:textId="1632A374" w:rsidR="00286934" w:rsidRDefault="00286934" w:rsidP="00BD08D5"/>
    <w:p w14:paraId="2FB54413" w14:textId="20522005" w:rsidR="00286934" w:rsidRDefault="00286934" w:rsidP="00BD08D5"/>
    <w:p w14:paraId="09A331F1" w14:textId="7769A91A" w:rsidR="00286934" w:rsidRDefault="00286934" w:rsidP="00BD08D5"/>
    <w:p w14:paraId="2B8933CC" w14:textId="671ACC82" w:rsidR="00286934" w:rsidRDefault="00286934" w:rsidP="00BD08D5"/>
    <w:p w14:paraId="0A249449" w14:textId="34F392D1" w:rsidR="00286934" w:rsidRDefault="00286934" w:rsidP="00BD08D5"/>
    <w:p w14:paraId="7F54231B" w14:textId="77777777" w:rsidR="00286934" w:rsidRDefault="00286934" w:rsidP="00BD08D5">
      <w:pPr>
        <w:rPr>
          <w:szCs w:val="32"/>
        </w:rPr>
      </w:pPr>
    </w:p>
    <w:tbl>
      <w:tblPr>
        <w:tblW w:w="9397" w:type="dxa"/>
        <w:tblInd w:w="-5" w:type="dxa"/>
        <w:tblLook w:val="04A0" w:firstRow="1" w:lastRow="0" w:firstColumn="1" w:lastColumn="0" w:noHBand="0" w:noVBand="1"/>
      </w:tblPr>
      <w:tblGrid>
        <w:gridCol w:w="4825"/>
        <w:gridCol w:w="1524"/>
        <w:gridCol w:w="1524"/>
        <w:gridCol w:w="1524"/>
      </w:tblGrid>
      <w:tr w:rsidR="0092103E" w:rsidRPr="0092103E" w14:paraId="5954AB48" w14:textId="77777777" w:rsidTr="0092103E">
        <w:trPr>
          <w:trHeight w:val="349"/>
        </w:trPr>
        <w:tc>
          <w:tcPr>
            <w:tcW w:w="482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E4E9E6" w14:textId="77777777" w:rsidR="0092103E" w:rsidRPr="0092103E" w:rsidRDefault="0092103E" w:rsidP="0092103E">
            <w:pPr>
              <w:spacing w:after="0" w:line="240" w:lineRule="auto"/>
              <w:rPr>
                <w:rFonts w:eastAsia="Times New Roman" w:cstheme="minorHAnsi"/>
                <w:b/>
                <w:bCs/>
                <w:color w:val="000000"/>
              </w:rPr>
            </w:pPr>
            <w:r w:rsidRPr="0092103E">
              <w:rPr>
                <w:rFonts w:eastAsia="Times New Roman" w:cstheme="minorHAnsi"/>
                <w:b/>
                <w:bCs/>
                <w:color w:val="000000"/>
              </w:rPr>
              <w:t>Themes: “How has NECAFS helped you improve your food safety outreach, training and education?”</w:t>
            </w:r>
          </w:p>
        </w:tc>
        <w:tc>
          <w:tcPr>
            <w:tcW w:w="1524" w:type="dxa"/>
            <w:tcBorders>
              <w:top w:val="single" w:sz="4" w:space="0" w:color="auto"/>
              <w:left w:val="nil"/>
              <w:bottom w:val="single" w:sz="4" w:space="0" w:color="auto"/>
              <w:right w:val="single" w:sz="4" w:space="0" w:color="auto"/>
            </w:tcBorders>
            <w:shd w:val="clear" w:color="auto" w:fill="auto"/>
            <w:vAlign w:val="bottom"/>
            <w:hideMark/>
          </w:tcPr>
          <w:p w14:paraId="69EE212D" w14:textId="77777777" w:rsidR="0092103E" w:rsidRPr="0092103E" w:rsidRDefault="0092103E" w:rsidP="0092103E">
            <w:pPr>
              <w:spacing w:after="0" w:line="240" w:lineRule="auto"/>
              <w:jc w:val="center"/>
              <w:rPr>
                <w:rFonts w:eastAsia="Times New Roman" w:cstheme="minorHAnsi"/>
                <w:b/>
                <w:bCs/>
                <w:color w:val="000000"/>
              </w:rPr>
            </w:pPr>
            <w:r w:rsidRPr="0092103E">
              <w:rPr>
                <w:rFonts w:eastAsia="Times New Roman" w:cstheme="minorHAnsi"/>
                <w:b/>
                <w:bCs/>
                <w:color w:val="000000"/>
              </w:rPr>
              <w:t>Total Attendee</w:t>
            </w:r>
          </w:p>
        </w:tc>
        <w:tc>
          <w:tcPr>
            <w:tcW w:w="1524" w:type="dxa"/>
            <w:tcBorders>
              <w:top w:val="single" w:sz="4" w:space="0" w:color="auto"/>
              <w:left w:val="nil"/>
              <w:bottom w:val="single" w:sz="4" w:space="0" w:color="auto"/>
              <w:right w:val="single" w:sz="4" w:space="0" w:color="auto"/>
            </w:tcBorders>
            <w:shd w:val="clear" w:color="auto" w:fill="auto"/>
            <w:vAlign w:val="bottom"/>
            <w:hideMark/>
          </w:tcPr>
          <w:p w14:paraId="6F7BA8AA" w14:textId="77777777" w:rsidR="0092103E" w:rsidRPr="0092103E" w:rsidRDefault="0092103E" w:rsidP="0092103E">
            <w:pPr>
              <w:spacing w:after="0" w:line="240" w:lineRule="auto"/>
              <w:jc w:val="center"/>
              <w:rPr>
                <w:rFonts w:eastAsia="Times New Roman" w:cstheme="minorHAnsi"/>
                <w:b/>
                <w:bCs/>
                <w:color w:val="000000"/>
              </w:rPr>
            </w:pPr>
            <w:r w:rsidRPr="0092103E">
              <w:rPr>
                <w:rFonts w:eastAsia="Times New Roman" w:cstheme="minorHAnsi"/>
                <w:b/>
                <w:bCs/>
                <w:color w:val="000000"/>
              </w:rPr>
              <w:t>Educator Role</w:t>
            </w:r>
          </w:p>
        </w:tc>
        <w:tc>
          <w:tcPr>
            <w:tcW w:w="1524" w:type="dxa"/>
            <w:tcBorders>
              <w:top w:val="single" w:sz="4" w:space="0" w:color="auto"/>
              <w:left w:val="nil"/>
              <w:bottom w:val="single" w:sz="4" w:space="0" w:color="auto"/>
              <w:right w:val="single" w:sz="4" w:space="0" w:color="auto"/>
            </w:tcBorders>
            <w:shd w:val="clear" w:color="auto" w:fill="auto"/>
            <w:vAlign w:val="bottom"/>
            <w:hideMark/>
          </w:tcPr>
          <w:p w14:paraId="7602827B" w14:textId="77777777" w:rsidR="0092103E" w:rsidRPr="0092103E" w:rsidRDefault="0092103E" w:rsidP="0092103E">
            <w:pPr>
              <w:spacing w:after="0" w:line="240" w:lineRule="auto"/>
              <w:jc w:val="center"/>
              <w:rPr>
                <w:rFonts w:eastAsia="Times New Roman" w:cstheme="minorHAnsi"/>
                <w:b/>
                <w:bCs/>
                <w:color w:val="000000"/>
              </w:rPr>
            </w:pPr>
            <w:r w:rsidRPr="0092103E">
              <w:rPr>
                <w:rFonts w:eastAsia="Times New Roman" w:cstheme="minorHAnsi"/>
                <w:b/>
                <w:bCs/>
                <w:color w:val="000000"/>
              </w:rPr>
              <w:t>Gov/Reg Role</w:t>
            </w:r>
          </w:p>
        </w:tc>
      </w:tr>
      <w:tr w:rsidR="0092103E" w:rsidRPr="0092103E" w14:paraId="3D763788" w14:textId="77777777" w:rsidTr="000A2709">
        <w:trPr>
          <w:trHeight w:val="174"/>
        </w:trPr>
        <w:tc>
          <w:tcPr>
            <w:tcW w:w="4825" w:type="dxa"/>
            <w:tcBorders>
              <w:top w:val="nil"/>
              <w:left w:val="single" w:sz="4" w:space="0" w:color="auto"/>
              <w:bottom w:val="single" w:sz="4" w:space="0" w:color="auto"/>
              <w:right w:val="single" w:sz="4" w:space="0" w:color="auto"/>
            </w:tcBorders>
            <w:shd w:val="clear" w:color="auto" w:fill="auto"/>
            <w:vAlign w:val="bottom"/>
            <w:hideMark/>
          </w:tcPr>
          <w:p w14:paraId="203BDA13" w14:textId="77777777" w:rsidR="0092103E" w:rsidRPr="0092103E" w:rsidRDefault="0092103E" w:rsidP="0092103E">
            <w:pPr>
              <w:spacing w:after="0" w:line="240" w:lineRule="auto"/>
              <w:rPr>
                <w:rFonts w:eastAsia="Times New Roman" w:cstheme="minorHAnsi"/>
                <w:color w:val="000000"/>
              </w:rPr>
            </w:pPr>
            <w:r w:rsidRPr="0092103E">
              <w:rPr>
                <w:rFonts w:eastAsia="Times New Roman" w:cstheme="minorHAnsi"/>
                <w:color w:val="000000"/>
              </w:rPr>
              <w:t>Sharing of resources</w:t>
            </w:r>
          </w:p>
        </w:tc>
        <w:tc>
          <w:tcPr>
            <w:tcW w:w="1524" w:type="dxa"/>
            <w:tcBorders>
              <w:top w:val="nil"/>
              <w:left w:val="nil"/>
              <w:bottom w:val="single" w:sz="4" w:space="0" w:color="auto"/>
              <w:right w:val="single" w:sz="4" w:space="0" w:color="auto"/>
            </w:tcBorders>
            <w:shd w:val="clear" w:color="auto" w:fill="auto"/>
            <w:noWrap/>
            <w:vAlign w:val="bottom"/>
            <w:hideMark/>
          </w:tcPr>
          <w:p w14:paraId="3329DA7A" w14:textId="1D014FBB" w:rsidR="0092103E" w:rsidRPr="0092103E" w:rsidRDefault="00363B59" w:rsidP="0092103E">
            <w:pPr>
              <w:spacing w:after="0" w:line="240" w:lineRule="auto"/>
              <w:jc w:val="center"/>
              <w:rPr>
                <w:rFonts w:eastAsia="Times New Roman" w:cstheme="minorHAnsi"/>
                <w:color w:val="000000"/>
              </w:rPr>
            </w:pPr>
            <w:r>
              <w:rPr>
                <w:rFonts w:eastAsia="Times New Roman" w:cstheme="minorHAnsi"/>
                <w:color w:val="000000"/>
              </w:rPr>
              <w:t xml:space="preserve">(15) </w:t>
            </w:r>
            <w:r w:rsidR="0092103E" w:rsidRPr="0092103E">
              <w:rPr>
                <w:rFonts w:eastAsia="Times New Roman" w:cstheme="minorHAnsi"/>
                <w:color w:val="000000"/>
              </w:rPr>
              <w:t>27%</w:t>
            </w:r>
          </w:p>
        </w:tc>
        <w:tc>
          <w:tcPr>
            <w:tcW w:w="1524" w:type="dxa"/>
            <w:tcBorders>
              <w:top w:val="nil"/>
              <w:left w:val="nil"/>
              <w:bottom w:val="single" w:sz="4" w:space="0" w:color="auto"/>
              <w:right w:val="single" w:sz="4" w:space="0" w:color="auto"/>
            </w:tcBorders>
            <w:shd w:val="clear" w:color="auto" w:fill="DFC9EF"/>
            <w:noWrap/>
            <w:vAlign w:val="bottom"/>
            <w:hideMark/>
          </w:tcPr>
          <w:p w14:paraId="67AF5069" w14:textId="6F3AA0D6" w:rsidR="0092103E" w:rsidRPr="0092103E" w:rsidRDefault="00363B59" w:rsidP="0092103E">
            <w:pPr>
              <w:spacing w:after="0" w:line="240" w:lineRule="auto"/>
              <w:jc w:val="center"/>
              <w:rPr>
                <w:rFonts w:eastAsia="Times New Roman" w:cstheme="minorHAnsi"/>
                <w:color w:val="000000"/>
              </w:rPr>
            </w:pPr>
            <w:r>
              <w:rPr>
                <w:rFonts w:eastAsia="Times New Roman" w:cstheme="minorHAnsi"/>
                <w:color w:val="000000"/>
              </w:rPr>
              <w:t xml:space="preserve">(7) </w:t>
            </w:r>
            <w:r w:rsidR="0092103E" w:rsidRPr="0092103E">
              <w:rPr>
                <w:rFonts w:eastAsia="Times New Roman" w:cstheme="minorHAnsi"/>
                <w:color w:val="000000"/>
              </w:rPr>
              <w:t>26%</w:t>
            </w:r>
          </w:p>
        </w:tc>
        <w:tc>
          <w:tcPr>
            <w:tcW w:w="1524" w:type="dxa"/>
            <w:tcBorders>
              <w:top w:val="nil"/>
              <w:left w:val="nil"/>
              <w:bottom w:val="single" w:sz="4" w:space="0" w:color="auto"/>
              <w:right w:val="single" w:sz="4" w:space="0" w:color="auto"/>
            </w:tcBorders>
            <w:shd w:val="clear" w:color="000000" w:fill="FFF2CC"/>
            <w:noWrap/>
            <w:vAlign w:val="bottom"/>
            <w:hideMark/>
          </w:tcPr>
          <w:p w14:paraId="4BACC108" w14:textId="7CD02FBB" w:rsidR="0092103E" w:rsidRPr="0092103E" w:rsidRDefault="00363B59" w:rsidP="0092103E">
            <w:pPr>
              <w:spacing w:after="0" w:line="240" w:lineRule="auto"/>
              <w:jc w:val="center"/>
              <w:rPr>
                <w:rFonts w:eastAsia="Times New Roman" w:cstheme="minorHAnsi"/>
                <w:color w:val="000000"/>
              </w:rPr>
            </w:pPr>
            <w:r>
              <w:rPr>
                <w:rFonts w:eastAsia="Times New Roman" w:cstheme="minorHAnsi"/>
                <w:color w:val="000000"/>
              </w:rPr>
              <w:t xml:space="preserve">(5) </w:t>
            </w:r>
            <w:r w:rsidR="0092103E" w:rsidRPr="0092103E">
              <w:rPr>
                <w:rFonts w:eastAsia="Times New Roman" w:cstheme="minorHAnsi"/>
                <w:color w:val="000000"/>
              </w:rPr>
              <w:t>22%</w:t>
            </w:r>
          </w:p>
        </w:tc>
      </w:tr>
      <w:tr w:rsidR="0092103E" w:rsidRPr="0092103E" w14:paraId="61043F60" w14:textId="77777777" w:rsidTr="000A2709">
        <w:trPr>
          <w:trHeight w:val="349"/>
        </w:trPr>
        <w:tc>
          <w:tcPr>
            <w:tcW w:w="4825" w:type="dxa"/>
            <w:tcBorders>
              <w:top w:val="nil"/>
              <w:left w:val="single" w:sz="4" w:space="0" w:color="auto"/>
              <w:bottom w:val="single" w:sz="4" w:space="0" w:color="auto"/>
              <w:right w:val="single" w:sz="4" w:space="0" w:color="auto"/>
            </w:tcBorders>
            <w:shd w:val="clear" w:color="auto" w:fill="auto"/>
            <w:vAlign w:val="bottom"/>
            <w:hideMark/>
          </w:tcPr>
          <w:p w14:paraId="7B3D3E42" w14:textId="77777777" w:rsidR="0092103E" w:rsidRPr="0092103E" w:rsidRDefault="0092103E" w:rsidP="0092103E">
            <w:pPr>
              <w:spacing w:after="0" w:line="240" w:lineRule="auto"/>
              <w:rPr>
                <w:rFonts w:eastAsia="Times New Roman" w:cstheme="minorHAnsi"/>
                <w:color w:val="000000"/>
              </w:rPr>
            </w:pPr>
            <w:r w:rsidRPr="0092103E">
              <w:rPr>
                <w:rFonts w:eastAsia="Times New Roman" w:cstheme="minorHAnsi"/>
                <w:color w:val="000000"/>
              </w:rPr>
              <w:t>Networking that led to training delivery, grant proposals, and other collaborative work</w:t>
            </w:r>
          </w:p>
        </w:tc>
        <w:tc>
          <w:tcPr>
            <w:tcW w:w="1524" w:type="dxa"/>
            <w:tcBorders>
              <w:top w:val="nil"/>
              <w:left w:val="nil"/>
              <w:bottom w:val="single" w:sz="4" w:space="0" w:color="auto"/>
              <w:right w:val="single" w:sz="4" w:space="0" w:color="auto"/>
            </w:tcBorders>
            <w:shd w:val="clear" w:color="auto" w:fill="auto"/>
            <w:noWrap/>
            <w:vAlign w:val="bottom"/>
            <w:hideMark/>
          </w:tcPr>
          <w:p w14:paraId="778A72B8" w14:textId="53C8C6B7" w:rsidR="0092103E" w:rsidRPr="0092103E" w:rsidRDefault="00363B59" w:rsidP="0092103E">
            <w:pPr>
              <w:spacing w:after="0" w:line="240" w:lineRule="auto"/>
              <w:jc w:val="center"/>
              <w:rPr>
                <w:rFonts w:eastAsia="Times New Roman" w:cstheme="minorHAnsi"/>
                <w:color w:val="000000"/>
              </w:rPr>
            </w:pPr>
            <w:r>
              <w:rPr>
                <w:rFonts w:eastAsia="Times New Roman" w:cstheme="minorHAnsi"/>
                <w:color w:val="000000"/>
              </w:rPr>
              <w:t xml:space="preserve">(14) </w:t>
            </w:r>
            <w:r w:rsidR="0092103E" w:rsidRPr="0092103E">
              <w:rPr>
                <w:rFonts w:eastAsia="Times New Roman" w:cstheme="minorHAnsi"/>
                <w:color w:val="000000"/>
              </w:rPr>
              <w:t>25%</w:t>
            </w:r>
          </w:p>
        </w:tc>
        <w:tc>
          <w:tcPr>
            <w:tcW w:w="1524" w:type="dxa"/>
            <w:tcBorders>
              <w:top w:val="nil"/>
              <w:left w:val="nil"/>
              <w:bottom w:val="single" w:sz="4" w:space="0" w:color="auto"/>
              <w:right w:val="single" w:sz="4" w:space="0" w:color="auto"/>
            </w:tcBorders>
            <w:shd w:val="clear" w:color="000000" w:fill="E2EFDA"/>
            <w:noWrap/>
            <w:vAlign w:val="bottom"/>
            <w:hideMark/>
          </w:tcPr>
          <w:p w14:paraId="155FE9B8" w14:textId="4CBC4152" w:rsidR="0092103E" w:rsidRPr="0092103E" w:rsidRDefault="00363B59" w:rsidP="0092103E">
            <w:pPr>
              <w:spacing w:after="0" w:line="240" w:lineRule="auto"/>
              <w:jc w:val="center"/>
              <w:rPr>
                <w:rFonts w:eastAsia="Times New Roman" w:cstheme="minorHAnsi"/>
                <w:color w:val="000000"/>
              </w:rPr>
            </w:pPr>
            <w:r>
              <w:rPr>
                <w:rFonts w:eastAsia="Times New Roman" w:cstheme="minorHAnsi"/>
                <w:color w:val="000000"/>
              </w:rPr>
              <w:t xml:space="preserve">(10) </w:t>
            </w:r>
            <w:r w:rsidR="0092103E" w:rsidRPr="0092103E">
              <w:rPr>
                <w:rFonts w:eastAsia="Times New Roman" w:cstheme="minorHAnsi"/>
                <w:color w:val="000000"/>
              </w:rPr>
              <w:t>37%</w:t>
            </w:r>
          </w:p>
        </w:tc>
        <w:tc>
          <w:tcPr>
            <w:tcW w:w="1524" w:type="dxa"/>
            <w:tcBorders>
              <w:top w:val="nil"/>
              <w:left w:val="nil"/>
              <w:bottom w:val="single" w:sz="4" w:space="0" w:color="auto"/>
              <w:right w:val="single" w:sz="4" w:space="0" w:color="auto"/>
            </w:tcBorders>
            <w:shd w:val="clear" w:color="auto" w:fill="DFC9EF"/>
            <w:noWrap/>
            <w:vAlign w:val="bottom"/>
            <w:hideMark/>
          </w:tcPr>
          <w:p w14:paraId="1B95E87A" w14:textId="346F188D" w:rsidR="0092103E" w:rsidRPr="0092103E" w:rsidRDefault="00363B59" w:rsidP="0092103E">
            <w:pPr>
              <w:spacing w:after="0" w:line="240" w:lineRule="auto"/>
              <w:jc w:val="center"/>
              <w:rPr>
                <w:rFonts w:eastAsia="Times New Roman" w:cstheme="minorHAnsi"/>
                <w:color w:val="000000"/>
              </w:rPr>
            </w:pPr>
            <w:r>
              <w:rPr>
                <w:rFonts w:eastAsia="Times New Roman" w:cstheme="minorHAnsi"/>
                <w:color w:val="000000"/>
              </w:rPr>
              <w:t xml:space="preserve">(4) </w:t>
            </w:r>
            <w:r w:rsidR="0092103E" w:rsidRPr="0092103E">
              <w:rPr>
                <w:rFonts w:eastAsia="Times New Roman" w:cstheme="minorHAnsi"/>
                <w:color w:val="000000"/>
              </w:rPr>
              <w:t>17%</w:t>
            </w:r>
          </w:p>
        </w:tc>
      </w:tr>
      <w:tr w:rsidR="0092103E" w:rsidRPr="0092103E" w14:paraId="5DBBF12A" w14:textId="77777777" w:rsidTr="0092103E">
        <w:trPr>
          <w:trHeight w:val="174"/>
        </w:trPr>
        <w:tc>
          <w:tcPr>
            <w:tcW w:w="4825" w:type="dxa"/>
            <w:tcBorders>
              <w:top w:val="nil"/>
              <w:left w:val="single" w:sz="4" w:space="0" w:color="auto"/>
              <w:bottom w:val="single" w:sz="4" w:space="0" w:color="auto"/>
              <w:right w:val="single" w:sz="4" w:space="0" w:color="auto"/>
            </w:tcBorders>
            <w:shd w:val="clear" w:color="auto" w:fill="auto"/>
            <w:vAlign w:val="bottom"/>
            <w:hideMark/>
          </w:tcPr>
          <w:p w14:paraId="7B002268" w14:textId="77777777" w:rsidR="0092103E" w:rsidRPr="0092103E" w:rsidRDefault="0092103E" w:rsidP="0092103E">
            <w:pPr>
              <w:spacing w:after="0" w:line="240" w:lineRule="auto"/>
              <w:rPr>
                <w:rFonts w:eastAsia="Times New Roman" w:cstheme="minorHAnsi"/>
                <w:color w:val="000000"/>
              </w:rPr>
            </w:pPr>
            <w:r w:rsidRPr="0092103E">
              <w:rPr>
                <w:rFonts w:eastAsia="Times New Roman" w:cstheme="minorHAnsi"/>
                <w:color w:val="000000"/>
              </w:rPr>
              <w:t>Networking and communication with other stakeholders</w:t>
            </w:r>
          </w:p>
        </w:tc>
        <w:tc>
          <w:tcPr>
            <w:tcW w:w="1524" w:type="dxa"/>
            <w:tcBorders>
              <w:top w:val="nil"/>
              <w:left w:val="nil"/>
              <w:bottom w:val="single" w:sz="4" w:space="0" w:color="auto"/>
              <w:right w:val="single" w:sz="4" w:space="0" w:color="auto"/>
            </w:tcBorders>
            <w:shd w:val="clear" w:color="auto" w:fill="auto"/>
            <w:noWrap/>
            <w:vAlign w:val="bottom"/>
            <w:hideMark/>
          </w:tcPr>
          <w:p w14:paraId="4F34FC7F" w14:textId="571F61A4" w:rsidR="0092103E" w:rsidRPr="0092103E" w:rsidRDefault="00363B59" w:rsidP="0092103E">
            <w:pPr>
              <w:spacing w:after="0" w:line="240" w:lineRule="auto"/>
              <w:jc w:val="center"/>
              <w:rPr>
                <w:rFonts w:eastAsia="Times New Roman" w:cstheme="minorHAnsi"/>
                <w:color w:val="000000"/>
              </w:rPr>
            </w:pPr>
            <w:r>
              <w:rPr>
                <w:rFonts w:eastAsia="Times New Roman" w:cstheme="minorHAnsi"/>
                <w:color w:val="000000"/>
              </w:rPr>
              <w:t xml:space="preserve">(12) </w:t>
            </w:r>
            <w:r w:rsidR="0092103E" w:rsidRPr="0092103E">
              <w:rPr>
                <w:rFonts w:eastAsia="Times New Roman" w:cstheme="minorHAnsi"/>
                <w:color w:val="000000"/>
              </w:rPr>
              <w:t>21%</w:t>
            </w:r>
          </w:p>
        </w:tc>
        <w:tc>
          <w:tcPr>
            <w:tcW w:w="1524" w:type="dxa"/>
            <w:tcBorders>
              <w:top w:val="nil"/>
              <w:left w:val="nil"/>
              <w:bottom w:val="single" w:sz="4" w:space="0" w:color="auto"/>
              <w:right w:val="single" w:sz="4" w:space="0" w:color="auto"/>
            </w:tcBorders>
            <w:shd w:val="clear" w:color="000000" w:fill="FFF2CC"/>
            <w:noWrap/>
            <w:vAlign w:val="bottom"/>
            <w:hideMark/>
          </w:tcPr>
          <w:p w14:paraId="3EC772C6" w14:textId="74F98A35" w:rsidR="0092103E" w:rsidRPr="0092103E" w:rsidRDefault="00363B59" w:rsidP="0092103E">
            <w:pPr>
              <w:spacing w:after="0" w:line="240" w:lineRule="auto"/>
              <w:jc w:val="center"/>
              <w:rPr>
                <w:rFonts w:eastAsia="Times New Roman" w:cstheme="minorHAnsi"/>
                <w:color w:val="000000"/>
              </w:rPr>
            </w:pPr>
            <w:r>
              <w:rPr>
                <w:rFonts w:eastAsia="Times New Roman" w:cstheme="minorHAnsi"/>
                <w:color w:val="000000"/>
              </w:rPr>
              <w:t xml:space="preserve">(5) </w:t>
            </w:r>
            <w:r w:rsidR="0092103E" w:rsidRPr="0092103E">
              <w:rPr>
                <w:rFonts w:eastAsia="Times New Roman" w:cstheme="minorHAnsi"/>
                <w:color w:val="000000"/>
              </w:rPr>
              <w:t>29%</w:t>
            </w:r>
          </w:p>
        </w:tc>
        <w:tc>
          <w:tcPr>
            <w:tcW w:w="1524" w:type="dxa"/>
            <w:tcBorders>
              <w:top w:val="nil"/>
              <w:left w:val="nil"/>
              <w:bottom w:val="single" w:sz="4" w:space="0" w:color="auto"/>
              <w:right w:val="single" w:sz="4" w:space="0" w:color="auto"/>
            </w:tcBorders>
            <w:shd w:val="clear" w:color="000000" w:fill="E2EFDA"/>
            <w:noWrap/>
            <w:vAlign w:val="bottom"/>
            <w:hideMark/>
          </w:tcPr>
          <w:p w14:paraId="048AD938" w14:textId="29A58234" w:rsidR="0092103E" w:rsidRPr="0092103E" w:rsidRDefault="00363B59" w:rsidP="0092103E">
            <w:pPr>
              <w:spacing w:after="0" w:line="240" w:lineRule="auto"/>
              <w:jc w:val="center"/>
              <w:rPr>
                <w:rFonts w:eastAsia="Times New Roman" w:cstheme="minorHAnsi"/>
                <w:color w:val="000000"/>
              </w:rPr>
            </w:pPr>
            <w:r>
              <w:rPr>
                <w:rFonts w:eastAsia="Times New Roman" w:cstheme="minorHAnsi"/>
                <w:color w:val="000000"/>
              </w:rPr>
              <w:t xml:space="preserve">(6) </w:t>
            </w:r>
            <w:r w:rsidR="0092103E" w:rsidRPr="0092103E">
              <w:rPr>
                <w:rFonts w:eastAsia="Times New Roman" w:cstheme="minorHAnsi"/>
                <w:color w:val="000000"/>
              </w:rPr>
              <w:t>26%</w:t>
            </w:r>
          </w:p>
        </w:tc>
      </w:tr>
      <w:tr w:rsidR="0092103E" w:rsidRPr="0092103E" w14:paraId="562D53BC" w14:textId="77777777" w:rsidTr="0092103E">
        <w:trPr>
          <w:trHeight w:val="524"/>
        </w:trPr>
        <w:tc>
          <w:tcPr>
            <w:tcW w:w="4825" w:type="dxa"/>
            <w:tcBorders>
              <w:top w:val="nil"/>
              <w:left w:val="single" w:sz="4" w:space="0" w:color="auto"/>
              <w:bottom w:val="single" w:sz="4" w:space="0" w:color="auto"/>
              <w:right w:val="single" w:sz="4" w:space="0" w:color="auto"/>
            </w:tcBorders>
            <w:shd w:val="clear" w:color="auto" w:fill="auto"/>
            <w:vAlign w:val="bottom"/>
            <w:hideMark/>
          </w:tcPr>
          <w:p w14:paraId="0E1FBE77" w14:textId="460F7834" w:rsidR="0092103E" w:rsidRPr="0092103E" w:rsidRDefault="0092103E" w:rsidP="0092103E">
            <w:pPr>
              <w:spacing w:after="0" w:line="240" w:lineRule="auto"/>
              <w:rPr>
                <w:rFonts w:eastAsia="Times New Roman" w:cstheme="minorHAnsi"/>
                <w:color w:val="000000"/>
              </w:rPr>
            </w:pPr>
            <w:r w:rsidRPr="0092103E">
              <w:rPr>
                <w:rFonts w:eastAsia="Times New Roman" w:cstheme="minorHAnsi"/>
                <w:color w:val="000000"/>
              </w:rPr>
              <w:t>Information sharing that provided insight and led to more new and informed decision making</w:t>
            </w:r>
          </w:p>
        </w:tc>
        <w:tc>
          <w:tcPr>
            <w:tcW w:w="1524" w:type="dxa"/>
            <w:tcBorders>
              <w:top w:val="nil"/>
              <w:left w:val="nil"/>
              <w:bottom w:val="single" w:sz="4" w:space="0" w:color="auto"/>
              <w:right w:val="single" w:sz="4" w:space="0" w:color="auto"/>
            </w:tcBorders>
            <w:shd w:val="clear" w:color="auto" w:fill="auto"/>
            <w:noWrap/>
            <w:vAlign w:val="bottom"/>
            <w:hideMark/>
          </w:tcPr>
          <w:p w14:paraId="72DA856A" w14:textId="4B5FA851" w:rsidR="0092103E" w:rsidRPr="0092103E" w:rsidRDefault="00363B59" w:rsidP="0092103E">
            <w:pPr>
              <w:spacing w:after="0" w:line="240" w:lineRule="auto"/>
              <w:jc w:val="center"/>
              <w:rPr>
                <w:rFonts w:eastAsia="Times New Roman" w:cstheme="minorHAnsi"/>
                <w:color w:val="000000"/>
              </w:rPr>
            </w:pPr>
            <w:r>
              <w:rPr>
                <w:rFonts w:eastAsia="Times New Roman" w:cstheme="minorHAnsi"/>
                <w:color w:val="000000"/>
              </w:rPr>
              <w:t xml:space="preserve">(12) </w:t>
            </w:r>
            <w:r w:rsidR="0092103E" w:rsidRPr="0092103E">
              <w:rPr>
                <w:rFonts w:eastAsia="Times New Roman" w:cstheme="minorHAnsi"/>
                <w:color w:val="000000"/>
              </w:rPr>
              <w:t>21%</w:t>
            </w:r>
          </w:p>
        </w:tc>
        <w:tc>
          <w:tcPr>
            <w:tcW w:w="1524" w:type="dxa"/>
            <w:tcBorders>
              <w:top w:val="nil"/>
              <w:left w:val="nil"/>
              <w:bottom w:val="single" w:sz="4" w:space="0" w:color="auto"/>
              <w:right w:val="single" w:sz="4" w:space="0" w:color="auto"/>
            </w:tcBorders>
            <w:shd w:val="clear" w:color="auto" w:fill="auto"/>
            <w:noWrap/>
            <w:vAlign w:val="bottom"/>
            <w:hideMark/>
          </w:tcPr>
          <w:p w14:paraId="443D1776" w14:textId="03E347D5" w:rsidR="0092103E" w:rsidRPr="0092103E" w:rsidRDefault="00363B59" w:rsidP="0092103E">
            <w:pPr>
              <w:spacing w:after="0" w:line="240" w:lineRule="auto"/>
              <w:jc w:val="center"/>
              <w:rPr>
                <w:rFonts w:eastAsia="Times New Roman" w:cstheme="minorHAnsi"/>
                <w:color w:val="000000"/>
              </w:rPr>
            </w:pPr>
            <w:r>
              <w:rPr>
                <w:rFonts w:eastAsia="Times New Roman" w:cstheme="minorHAnsi"/>
                <w:color w:val="000000"/>
              </w:rPr>
              <w:t xml:space="preserve">(4) </w:t>
            </w:r>
            <w:r w:rsidR="0092103E" w:rsidRPr="0092103E">
              <w:rPr>
                <w:rFonts w:eastAsia="Times New Roman" w:cstheme="minorHAnsi"/>
                <w:color w:val="000000"/>
              </w:rPr>
              <w:t>15%</w:t>
            </w:r>
          </w:p>
        </w:tc>
        <w:tc>
          <w:tcPr>
            <w:tcW w:w="1524" w:type="dxa"/>
            <w:tcBorders>
              <w:top w:val="nil"/>
              <w:left w:val="nil"/>
              <w:bottom w:val="single" w:sz="4" w:space="0" w:color="auto"/>
              <w:right w:val="single" w:sz="4" w:space="0" w:color="auto"/>
            </w:tcBorders>
            <w:shd w:val="clear" w:color="000000" w:fill="E2EFDA"/>
            <w:noWrap/>
            <w:vAlign w:val="bottom"/>
            <w:hideMark/>
          </w:tcPr>
          <w:p w14:paraId="76B9EFB1" w14:textId="457ED62D" w:rsidR="0092103E" w:rsidRPr="0092103E" w:rsidRDefault="00363B59" w:rsidP="0092103E">
            <w:pPr>
              <w:spacing w:after="0" w:line="240" w:lineRule="auto"/>
              <w:jc w:val="center"/>
              <w:rPr>
                <w:rFonts w:eastAsia="Times New Roman" w:cstheme="minorHAnsi"/>
                <w:color w:val="000000"/>
              </w:rPr>
            </w:pPr>
            <w:r>
              <w:rPr>
                <w:rFonts w:eastAsia="Times New Roman" w:cstheme="minorHAnsi"/>
                <w:color w:val="000000"/>
              </w:rPr>
              <w:t xml:space="preserve">(6) </w:t>
            </w:r>
            <w:r w:rsidR="0092103E" w:rsidRPr="0092103E">
              <w:rPr>
                <w:rFonts w:eastAsia="Times New Roman" w:cstheme="minorHAnsi"/>
                <w:color w:val="000000"/>
              </w:rPr>
              <w:t>26%</w:t>
            </w:r>
          </w:p>
        </w:tc>
      </w:tr>
      <w:tr w:rsidR="0092103E" w:rsidRPr="0092103E" w14:paraId="50401C5F" w14:textId="77777777" w:rsidTr="0092103E">
        <w:trPr>
          <w:trHeight w:val="349"/>
        </w:trPr>
        <w:tc>
          <w:tcPr>
            <w:tcW w:w="4825" w:type="dxa"/>
            <w:tcBorders>
              <w:top w:val="nil"/>
              <w:left w:val="single" w:sz="4" w:space="0" w:color="auto"/>
              <w:bottom w:val="single" w:sz="4" w:space="0" w:color="auto"/>
              <w:right w:val="single" w:sz="4" w:space="0" w:color="auto"/>
            </w:tcBorders>
            <w:shd w:val="clear" w:color="auto" w:fill="auto"/>
            <w:vAlign w:val="bottom"/>
            <w:hideMark/>
          </w:tcPr>
          <w:p w14:paraId="23F225A5" w14:textId="067010FC" w:rsidR="0092103E" w:rsidRPr="0092103E" w:rsidRDefault="0092103E" w:rsidP="0092103E">
            <w:pPr>
              <w:spacing w:after="0" w:line="240" w:lineRule="auto"/>
              <w:rPr>
                <w:rFonts w:eastAsia="Times New Roman" w:cstheme="minorHAnsi"/>
                <w:color w:val="000000"/>
              </w:rPr>
            </w:pPr>
            <w:r w:rsidRPr="0092103E">
              <w:rPr>
                <w:rFonts w:eastAsia="Times New Roman" w:cstheme="minorHAnsi"/>
                <w:color w:val="000000"/>
              </w:rPr>
              <w:t>Funding to become trainers and to deliver trainings</w:t>
            </w:r>
          </w:p>
        </w:tc>
        <w:tc>
          <w:tcPr>
            <w:tcW w:w="1524" w:type="dxa"/>
            <w:tcBorders>
              <w:top w:val="nil"/>
              <w:left w:val="nil"/>
              <w:bottom w:val="single" w:sz="4" w:space="0" w:color="auto"/>
              <w:right w:val="single" w:sz="4" w:space="0" w:color="auto"/>
            </w:tcBorders>
            <w:shd w:val="clear" w:color="auto" w:fill="auto"/>
            <w:noWrap/>
            <w:vAlign w:val="bottom"/>
            <w:hideMark/>
          </w:tcPr>
          <w:p w14:paraId="1B9AF652" w14:textId="5B517AA6" w:rsidR="0092103E" w:rsidRPr="0092103E" w:rsidRDefault="00363B59" w:rsidP="0092103E">
            <w:pPr>
              <w:spacing w:after="0" w:line="240" w:lineRule="auto"/>
              <w:jc w:val="center"/>
              <w:rPr>
                <w:rFonts w:eastAsia="Times New Roman" w:cstheme="minorHAnsi"/>
                <w:color w:val="000000"/>
              </w:rPr>
            </w:pPr>
            <w:r>
              <w:rPr>
                <w:rFonts w:eastAsia="Times New Roman" w:cstheme="minorHAnsi"/>
                <w:color w:val="000000"/>
              </w:rPr>
              <w:t xml:space="preserve">(2) </w:t>
            </w:r>
            <w:r w:rsidR="0092103E" w:rsidRPr="0092103E">
              <w:rPr>
                <w:rFonts w:eastAsia="Times New Roman" w:cstheme="minorHAnsi"/>
                <w:color w:val="000000"/>
              </w:rPr>
              <w:t>4%</w:t>
            </w:r>
          </w:p>
        </w:tc>
        <w:tc>
          <w:tcPr>
            <w:tcW w:w="1524" w:type="dxa"/>
            <w:tcBorders>
              <w:top w:val="nil"/>
              <w:left w:val="nil"/>
              <w:bottom w:val="single" w:sz="4" w:space="0" w:color="auto"/>
              <w:right w:val="single" w:sz="4" w:space="0" w:color="auto"/>
            </w:tcBorders>
            <w:shd w:val="clear" w:color="auto" w:fill="auto"/>
            <w:noWrap/>
            <w:vAlign w:val="bottom"/>
            <w:hideMark/>
          </w:tcPr>
          <w:p w14:paraId="22E8774A" w14:textId="5FAAB704" w:rsidR="0092103E" w:rsidRPr="0092103E" w:rsidRDefault="00363B59" w:rsidP="0092103E">
            <w:pPr>
              <w:spacing w:after="0" w:line="240" w:lineRule="auto"/>
              <w:jc w:val="center"/>
              <w:rPr>
                <w:rFonts w:eastAsia="Times New Roman" w:cstheme="minorHAnsi"/>
                <w:color w:val="000000"/>
              </w:rPr>
            </w:pPr>
            <w:r>
              <w:rPr>
                <w:rFonts w:eastAsia="Times New Roman" w:cstheme="minorHAnsi"/>
                <w:color w:val="000000"/>
              </w:rPr>
              <w:t xml:space="preserve">(1) </w:t>
            </w:r>
            <w:r w:rsidR="0092103E" w:rsidRPr="0092103E">
              <w:rPr>
                <w:rFonts w:eastAsia="Times New Roman" w:cstheme="minorHAnsi"/>
                <w:color w:val="000000"/>
              </w:rPr>
              <w:t>4%</w:t>
            </w:r>
          </w:p>
        </w:tc>
        <w:tc>
          <w:tcPr>
            <w:tcW w:w="1524" w:type="dxa"/>
            <w:tcBorders>
              <w:top w:val="nil"/>
              <w:left w:val="nil"/>
              <w:bottom w:val="single" w:sz="4" w:space="0" w:color="auto"/>
              <w:right w:val="single" w:sz="4" w:space="0" w:color="auto"/>
            </w:tcBorders>
            <w:shd w:val="clear" w:color="auto" w:fill="auto"/>
            <w:noWrap/>
            <w:vAlign w:val="bottom"/>
            <w:hideMark/>
          </w:tcPr>
          <w:p w14:paraId="4B352102" w14:textId="20B60386" w:rsidR="0092103E" w:rsidRPr="0092103E" w:rsidRDefault="00363B59" w:rsidP="0092103E">
            <w:pPr>
              <w:spacing w:after="0" w:line="240" w:lineRule="auto"/>
              <w:jc w:val="center"/>
              <w:rPr>
                <w:rFonts w:eastAsia="Times New Roman" w:cstheme="minorHAnsi"/>
                <w:color w:val="000000"/>
              </w:rPr>
            </w:pPr>
            <w:r>
              <w:rPr>
                <w:rFonts w:eastAsia="Times New Roman" w:cstheme="minorHAnsi"/>
                <w:color w:val="000000"/>
              </w:rPr>
              <w:t xml:space="preserve">(1) </w:t>
            </w:r>
            <w:r w:rsidR="0092103E" w:rsidRPr="0092103E">
              <w:rPr>
                <w:rFonts w:eastAsia="Times New Roman" w:cstheme="minorHAnsi"/>
                <w:color w:val="000000"/>
              </w:rPr>
              <w:t>4%</w:t>
            </w:r>
          </w:p>
        </w:tc>
      </w:tr>
      <w:tr w:rsidR="0092103E" w:rsidRPr="0092103E" w14:paraId="1A10473A" w14:textId="77777777" w:rsidTr="0092103E">
        <w:trPr>
          <w:trHeight w:val="349"/>
        </w:trPr>
        <w:tc>
          <w:tcPr>
            <w:tcW w:w="4825" w:type="dxa"/>
            <w:tcBorders>
              <w:top w:val="nil"/>
              <w:left w:val="single" w:sz="4" w:space="0" w:color="auto"/>
              <w:bottom w:val="single" w:sz="4" w:space="0" w:color="auto"/>
              <w:right w:val="single" w:sz="4" w:space="0" w:color="auto"/>
            </w:tcBorders>
            <w:shd w:val="clear" w:color="auto" w:fill="auto"/>
            <w:vAlign w:val="bottom"/>
            <w:hideMark/>
          </w:tcPr>
          <w:p w14:paraId="468D4FC3" w14:textId="77777777" w:rsidR="0092103E" w:rsidRPr="0092103E" w:rsidRDefault="0092103E" w:rsidP="0092103E">
            <w:pPr>
              <w:spacing w:after="0" w:line="240" w:lineRule="auto"/>
              <w:rPr>
                <w:rFonts w:eastAsia="Times New Roman" w:cstheme="minorHAnsi"/>
                <w:color w:val="000000"/>
              </w:rPr>
            </w:pPr>
            <w:r w:rsidRPr="0092103E">
              <w:rPr>
                <w:rFonts w:eastAsia="Times New Roman" w:cstheme="minorHAnsi"/>
                <w:color w:val="000000"/>
              </w:rPr>
              <w:t>Made training possible that provided networking opportunity with stakeholder</w:t>
            </w:r>
          </w:p>
        </w:tc>
        <w:tc>
          <w:tcPr>
            <w:tcW w:w="1524" w:type="dxa"/>
            <w:tcBorders>
              <w:top w:val="nil"/>
              <w:left w:val="nil"/>
              <w:bottom w:val="single" w:sz="4" w:space="0" w:color="auto"/>
              <w:right w:val="single" w:sz="4" w:space="0" w:color="auto"/>
            </w:tcBorders>
            <w:shd w:val="clear" w:color="auto" w:fill="auto"/>
            <w:noWrap/>
            <w:vAlign w:val="bottom"/>
            <w:hideMark/>
          </w:tcPr>
          <w:p w14:paraId="3639D138" w14:textId="1A4413B8" w:rsidR="0092103E" w:rsidRPr="0092103E" w:rsidRDefault="00363B59" w:rsidP="0092103E">
            <w:pPr>
              <w:spacing w:after="0" w:line="240" w:lineRule="auto"/>
              <w:jc w:val="center"/>
              <w:rPr>
                <w:rFonts w:eastAsia="Times New Roman" w:cstheme="minorHAnsi"/>
                <w:color w:val="000000"/>
              </w:rPr>
            </w:pPr>
            <w:r>
              <w:rPr>
                <w:rFonts w:eastAsia="Times New Roman" w:cstheme="minorHAnsi"/>
                <w:color w:val="000000"/>
              </w:rPr>
              <w:t xml:space="preserve">(1) </w:t>
            </w:r>
            <w:r w:rsidR="0092103E" w:rsidRPr="0092103E">
              <w:rPr>
                <w:rFonts w:eastAsia="Times New Roman" w:cstheme="minorHAnsi"/>
                <w:color w:val="000000"/>
              </w:rPr>
              <w:t>2%</w:t>
            </w:r>
          </w:p>
        </w:tc>
        <w:tc>
          <w:tcPr>
            <w:tcW w:w="1524" w:type="dxa"/>
            <w:tcBorders>
              <w:top w:val="nil"/>
              <w:left w:val="nil"/>
              <w:bottom w:val="single" w:sz="4" w:space="0" w:color="auto"/>
              <w:right w:val="single" w:sz="4" w:space="0" w:color="auto"/>
            </w:tcBorders>
            <w:shd w:val="clear" w:color="auto" w:fill="auto"/>
            <w:noWrap/>
            <w:vAlign w:val="bottom"/>
            <w:hideMark/>
          </w:tcPr>
          <w:p w14:paraId="631C21F7" w14:textId="77777777" w:rsidR="0092103E" w:rsidRPr="0092103E" w:rsidRDefault="0092103E" w:rsidP="0092103E">
            <w:pPr>
              <w:spacing w:after="0" w:line="240" w:lineRule="auto"/>
              <w:jc w:val="center"/>
              <w:rPr>
                <w:rFonts w:eastAsia="Times New Roman" w:cstheme="minorHAnsi"/>
                <w:color w:val="000000"/>
              </w:rPr>
            </w:pPr>
            <w:r w:rsidRPr="0092103E">
              <w:rPr>
                <w:rFonts w:eastAsia="Times New Roman" w:cstheme="minorHAnsi"/>
                <w:color w:val="000000"/>
              </w:rPr>
              <w:t>-</w:t>
            </w:r>
          </w:p>
        </w:tc>
        <w:tc>
          <w:tcPr>
            <w:tcW w:w="1524" w:type="dxa"/>
            <w:tcBorders>
              <w:top w:val="nil"/>
              <w:left w:val="nil"/>
              <w:bottom w:val="single" w:sz="4" w:space="0" w:color="auto"/>
              <w:right w:val="single" w:sz="4" w:space="0" w:color="auto"/>
            </w:tcBorders>
            <w:shd w:val="clear" w:color="auto" w:fill="auto"/>
            <w:noWrap/>
            <w:vAlign w:val="bottom"/>
            <w:hideMark/>
          </w:tcPr>
          <w:p w14:paraId="494FEBA7" w14:textId="542722DF" w:rsidR="0092103E" w:rsidRPr="0092103E" w:rsidRDefault="00363B59" w:rsidP="0092103E">
            <w:pPr>
              <w:spacing w:after="0" w:line="240" w:lineRule="auto"/>
              <w:jc w:val="center"/>
              <w:rPr>
                <w:rFonts w:eastAsia="Times New Roman" w:cstheme="minorHAnsi"/>
                <w:color w:val="000000"/>
              </w:rPr>
            </w:pPr>
            <w:r>
              <w:rPr>
                <w:rFonts w:eastAsia="Times New Roman" w:cstheme="minorHAnsi"/>
                <w:color w:val="000000"/>
              </w:rPr>
              <w:t xml:space="preserve">(1) </w:t>
            </w:r>
            <w:r w:rsidR="0092103E" w:rsidRPr="0092103E">
              <w:rPr>
                <w:rFonts w:eastAsia="Times New Roman" w:cstheme="minorHAnsi"/>
                <w:color w:val="000000"/>
              </w:rPr>
              <w:t>4%</w:t>
            </w:r>
          </w:p>
        </w:tc>
      </w:tr>
      <w:tr w:rsidR="004E16BC" w:rsidRPr="0092103E" w14:paraId="3A8B23B8" w14:textId="77777777" w:rsidTr="00C35D39">
        <w:trPr>
          <w:trHeight w:val="174"/>
        </w:trPr>
        <w:tc>
          <w:tcPr>
            <w:tcW w:w="4825" w:type="dxa"/>
            <w:vMerge w:val="restart"/>
            <w:tcBorders>
              <w:top w:val="nil"/>
              <w:left w:val="nil"/>
              <w:right w:val="nil"/>
            </w:tcBorders>
            <w:shd w:val="clear" w:color="auto" w:fill="auto"/>
            <w:noWrap/>
            <w:vAlign w:val="bottom"/>
            <w:hideMark/>
          </w:tcPr>
          <w:p w14:paraId="7D894293" w14:textId="1E468574" w:rsidR="004E16BC" w:rsidRPr="004E16BC" w:rsidRDefault="004E16BC" w:rsidP="004E16BC">
            <w:pPr>
              <w:spacing w:after="0" w:line="240" w:lineRule="auto"/>
              <w:rPr>
                <w:rFonts w:eastAsia="Times New Roman" w:cstheme="minorHAnsi"/>
                <w:i/>
                <w:color w:val="000000"/>
                <w:sz w:val="20"/>
                <w:szCs w:val="20"/>
              </w:rPr>
            </w:pPr>
            <w:r w:rsidRPr="004E16BC">
              <w:rPr>
                <w:rFonts w:eastAsia="Times New Roman" w:cs="Arial"/>
                <w:b/>
                <w:i/>
                <w:color w:val="000000"/>
                <w:sz w:val="20"/>
                <w:szCs w:val="20"/>
              </w:rPr>
              <w:t>Table 5. Respondent themes to “</w:t>
            </w:r>
            <w:r w:rsidRPr="004E16BC">
              <w:rPr>
                <w:rFonts w:eastAsia="Times New Roman" w:cstheme="minorHAnsi"/>
                <w:b/>
                <w:bCs/>
                <w:i/>
                <w:color w:val="000000"/>
                <w:sz w:val="20"/>
                <w:szCs w:val="20"/>
              </w:rPr>
              <w:t>How has NECAFS helped you improve your food safety outreach, training and education?</w:t>
            </w:r>
            <w:r w:rsidRPr="004E16BC">
              <w:rPr>
                <w:rFonts w:eastAsia="Times New Roman" w:cs="Arial"/>
                <w:b/>
                <w:i/>
                <w:color w:val="000000"/>
                <w:sz w:val="20"/>
                <w:szCs w:val="20"/>
              </w:rPr>
              <w:t>” by role in produce safety community.</w:t>
            </w:r>
          </w:p>
        </w:tc>
        <w:tc>
          <w:tcPr>
            <w:tcW w:w="1524" w:type="dxa"/>
            <w:tcBorders>
              <w:top w:val="nil"/>
              <w:left w:val="nil"/>
              <w:bottom w:val="nil"/>
              <w:right w:val="nil"/>
            </w:tcBorders>
            <w:shd w:val="clear" w:color="auto" w:fill="auto"/>
            <w:noWrap/>
            <w:vAlign w:val="bottom"/>
            <w:hideMark/>
          </w:tcPr>
          <w:p w14:paraId="15CBFEAF" w14:textId="77777777" w:rsidR="004E16BC" w:rsidRPr="0092103E" w:rsidRDefault="004E16BC" w:rsidP="0092103E">
            <w:pPr>
              <w:spacing w:after="0" w:line="240" w:lineRule="auto"/>
              <w:rPr>
                <w:rFonts w:eastAsia="Times New Roman" w:cstheme="minorHAnsi"/>
              </w:rPr>
            </w:pPr>
          </w:p>
        </w:tc>
        <w:tc>
          <w:tcPr>
            <w:tcW w:w="1524" w:type="dxa"/>
            <w:tcBorders>
              <w:top w:val="nil"/>
              <w:left w:val="nil"/>
              <w:bottom w:val="nil"/>
              <w:right w:val="nil"/>
            </w:tcBorders>
            <w:shd w:val="clear" w:color="auto" w:fill="auto"/>
            <w:noWrap/>
            <w:vAlign w:val="bottom"/>
            <w:hideMark/>
          </w:tcPr>
          <w:p w14:paraId="4DF64E06" w14:textId="77777777" w:rsidR="004E16BC" w:rsidRPr="0092103E" w:rsidRDefault="004E16BC" w:rsidP="0092103E">
            <w:pPr>
              <w:spacing w:after="0" w:line="240" w:lineRule="auto"/>
              <w:rPr>
                <w:rFonts w:eastAsia="Times New Roman" w:cstheme="minorHAnsi"/>
              </w:rPr>
            </w:pPr>
          </w:p>
        </w:tc>
        <w:tc>
          <w:tcPr>
            <w:tcW w:w="1524" w:type="dxa"/>
            <w:tcBorders>
              <w:top w:val="nil"/>
              <w:left w:val="nil"/>
              <w:bottom w:val="nil"/>
              <w:right w:val="nil"/>
            </w:tcBorders>
            <w:shd w:val="clear" w:color="auto" w:fill="auto"/>
            <w:noWrap/>
            <w:vAlign w:val="bottom"/>
            <w:hideMark/>
          </w:tcPr>
          <w:p w14:paraId="7D1C1CD5" w14:textId="77777777" w:rsidR="004E16BC" w:rsidRPr="0092103E" w:rsidRDefault="004E16BC" w:rsidP="0092103E">
            <w:pPr>
              <w:spacing w:after="0" w:line="240" w:lineRule="auto"/>
              <w:rPr>
                <w:rFonts w:eastAsia="Times New Roman" w:cstheme="minorHAnsi"/>
              </w:rPr>
            </w:pPr>
          </w:p>
        </w:tc>
      </w:tr>
      <w:tr w:rsidR="004E16BC" w:rsidRPr="0092103E" w14:paraId="690F6428" w14:textId="77777777" w:rsidTr="00C35D39">
        <w:trPr>
          <w:trHeight w:val="174"/>
        </w:trPr>
        <w:tc>
          <w:tcPr>
            <w:tcW w:w="4825" w:type="dxa"/>
            <w:vMerge/>
            <w:tcBorders>
              <w:left w:val="nil"/>
              <w:right w:val="nil"/>
            </w:tcBorders>
            <w:shd w:val="clear" w:color="auto" w:fill="auto"/>
            <w:noWrap/>
            <w:vAlign w:val="bottom"/>
            <w:hideMark/>
          </w:tcPr>
          <w:p w14:paraId="06E62BEE" w14:textId="77777777" w:rsidR="004E16BC" w:rsidRPr="0092103E" w:rsidRDefault="004E16BC" w:rsidP="0092103E">
            <w:pPr>
              <w:spacing w:after="0" w:line="240" w:lineRule="auto"/>
              <w:rPr>
                <w:rFonts w:eastAsia="Times New Roman" w:cstheme="minorHAnsi"/>
              </w:rPr>
            </w:pPr>
          </w:p>
        </w:tc>
        <w:tc>
          <w:tcPr>
            <w:tcW w:w="1524" w:type="dxa"/>
            <w:tcBorders>
              <w:top w:val="nil"/>
              <w:left w:val="nil"/>
              <w:bottom w:val="nil"/>
              <w:right w:val="nil"/>
            </w:tcBorders>
            <w:shd w:val="clear" w:color="auto" w:fill="auto"/>
            <w:noWrap/>
            <w:vAlign w:val="bottom"/>
            <w:hideMark/>
          </w:tcPr>
          <w:p w14:paraId="472FF405" w14:textId="77777777" w:rsidR="004E16BC" w:rsidRPr="0092103E" w:rsidRDefault="004E16BC" w:rsidP="0092103E">
            <w:pPr>
              <w:spacing w:after="0" w:line="240" w:lineRule="auto"/>
              <w:rPr>
                <w:rFonts w:eastAsia="Times New Roman" w:cstheme="minorHAnsi"/>
                <w:b/>
                <w:bCs/>
                <w:color w:val="000000"/>
              </w:rPr>
            </w:pPr>
            <w:r w:rsidRPr="0092103E">
              <w:rPr>
                <w:rFonts w:eastAsia="Times New Roman" w:cstheme="minorHAnsi"/>
                <w:b/>
                <w:bCs/>
                <w:color w:val="000000"/>
              </w:rPr>
              <w:t>Key</w:t>
            </w:r>
          </w:p>
        </w:tc>
        <w:tc>
          <w:tcPr>
            <w:tcW w:w="1524"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15B14441" w14:textId="77777777" w:rsidR="004E16BC" w:rsidRPr="0092103E" w:rsidRDefault="004E16BC" w:rsidP="0092103E">
            <w:pPr>
              <w:spacing w:after="0" w:line="240" w:lineRule="auto"/>
              <w:jc w:val="center"/>
              <w:rPr>
                <w:rFonts w:eastAsia="Times New Roman" w:cstheme="minorHAnsi"/>
                <w:color w:val="000000"/>
              </w:rPr>
            </w:pPr>
            <w:r w:rsidRPr="0092103E">
              <w:rPr>
                <w:rFonts w:eastAsia="Times New Roman" w:cstheme="minorHAnsi"/>
                <w:color w:val="000000"/>
              </w:rPr>
              <w:t>1st ranking</w:t>
            </w:r>
          </w:p>
        </w:tc>
        <w:tc>
          <w:tcPr>
            <w:tcW w:w="1524" w:type="dxa"/>
            <w:tcBorders>
              <w:top w:val="single" w:sz="4" w:space="0" w:color="auto"/>
              <w:left w:val="nil"/>
              <w:bottom w:val="single" w:sz="4" w:space="0" w:color="auto"/>
              <w:right w:val="single" w:sz="4" w:space="0" w:color="auto"/>
            </w:tcBorders>
            <w:shd w:val="clear" w:color="000000" w:fill="E2EFDA"/>
            <w:noWrap/>
            <w:vAlign w:val="bottom"/>
            <w:hideMark/>
          </w:tcPr>
          <w:p w14:paraId="4C941C52" w14:textId="77777777" w:rsidR="004E16BC" w:rsidRPr="0092103E" w:rsidRDefault="004E16BC" w:rsidP="0092103E">
            <w:pPr>
              <w:spacing w:after="0" w:line="240" w:lineRule="auto"/>
              <w:jc w:val="center"/>
              <w:rPr>
                <w:rFonts w:eastAsia="Times New Roman" w:cstheme="minorHAnsi"/>
                <w:color w:val="000000"/>
              </w:rPr>
            </w:pPr>
            <w:r w:rsidRPr="0092103E">
              <w:rPr>
                <w:rFonts w:eastAsia="Times New Roman" w:cstheme="minorHAnsi"/>
                <w:color w:val="000000"/>
              </w:rPr>
              <w:t>1st ranking</w:t>
            </w:r>
          </w:p>
        </w:tc>
      </w:tr>
      <w:tr w:rsidR="004E16BC" w:rsidRPr="0092103E" w14:paraId="5CE4856B" w14:textId="77777777" w:rsidTr="00C35D39">
        <w:trPr>
          <w:trHeight w:val="174"/>
        </w:trPr>
        <w:tc>
          <w:tcPr>
            <w:tcW w:w="4825" w:type="dxa"/>
            <w:vMerge/>
            <w:tcBorders>
              <w:left w:val="nil"/>
              <w:bottom w:val="nil"/>
              <w:right w:val="nil"/>
            </w:tcBorders>
            <w:shd w:val="clear" w:color="auto" w:fill="auto"/>
            <w:noWrap/>
            <w:vAlign w:val="bottom"/>
            <w:hideMark/>
          </w:tcPr>
          <w:p w14:paraId="0E8241BA" w14:textId="77777777" w:rsidR="004E16BC" w:rsidRPr="0092103E" w:rsidRDefault="004E16BC" w:rsidP="0092103E">
            <w:pPr>
              <w:spacing w:after="0" w:line="240" w:lineRule="auto"/>
              <w:jc w:val="center"/>
              <w:rPr>
                <w:rFonts w:eastAsia="Times New Roman" w:cstheme="minorHAnsi"/>
                <w:color w:val="000000"/>
              </w:rPr>
            </w:pPr>
          </w:p>
        </w:tc>
        <w:tc>
          <w:tcPr>
            <w:tcW w:w="1524" w:type="dxa"/>
            <w:tcBorders>
              <w:top w:val="nil"/>
              <w:left w:val="nil"/>
              <w:bottom w:val="nil"/>
              <w:right w:val="nil"/>
            </w:tcBorders>
            <w:shd w:val="clear" w:color="auto" w:fill="auto"/>
            <w:noWrap/>
            <w:vAlign w:val="bottom"/>
            <w:hideMark/>
          </w:tcPr>
          <w:p w14:paraId="36204554" w14:textId="77777777" w:rsidR="004E16BC" w:rsidRPr="0092103E" w:rsidRDefault="004E16BC" w:rsidP="0092103E">
            <w:pPr>
              <w:spacing w:after="0" w:line="240" w:lineRule="auto"/>
              <w:rPr>
                <w:rFonts w:eastAsia="Times New Roman" w:cstheme="minorHAnsi"/>
              </w:rPr>
            </w:pPr>
          </w:p>
        </w:tc>
        <w:tc>
          <w:tcPr>
            <w:tcW w:w="1524" w:type="dxa"/>
            <w:tcBorders>
              <w:top w:val="nil"/>
              <w:left w:val="single" w:sz="4" w:space="0" w:color="auto"/>
              <w:bottom w:val="single" w:sz="4" w:space="0" w:color="auto"/>
              <w:right w:val="single" w:sz="4" w:space="0" w:color="auto"/>
            </w:tcBorders>
            <w:shd w:val="clear" w:color="000000" w:fill="FFF2CC"/>
            <w:noWrap/>
            <w:vAlign w:val="bottom"/>
            <w:hideMark/>
          </w:tcPr>
          <w:p w14:paraId="0F10694E" w14:textId="77777777" w:rsidR="004E16BC" w:rsidRPr="0092103E" w:rsidRDefault="004E16BC" w:rsidP="0092103E">
            <w:pPr>
              <w:spacing w:after="0" w:line="240" w:lineRule="auto"/>
              <w:jc w:val="center"/>
              <w:rPr>
                <w:rFonts w:eastAsia="Times New Roman" w:cstheme="minorHAnsi"/>
                <w:color w:val="000000"/>
              </w:rPr>
            </w:pPr>
            <w:r w:rsidRPr="0092103E">
              <w:rPr>
                <w:rFonts w:eastAsia="Times New Roman" w:cstheme="minorHAnsi"/>
                <w:color w:val="000000"/>
              </w:rPr>
              <w:t>2nd ranking</w:t>
            </w:r>
          </w:p>
        </w:tc>
        <w:tc>
          <w:tcPr>
            <w:tcW w:w="1524" w:type="dxa"/>
            <w:tcBorders>
              <w:top w:val="nil"/>
              <w:left w:val="nil"/>
              <w:bottom w:val="single" w:sz="4" w:space="0" w:color="auto"/>
              <w:right w:val="single" w:sz="4" w:space="0" w:color="auto"/>
            </w:tcBorders>
            <w:shd w:val="clear" w:color="000000" w:fill="FFF2CC"/>
            <w:noWrap/>
            <w:vAlign w:val="bottom"/>
            <w:hideMark/>
          </w:tcPr>
          <w:p w14:paraId="03A49B3F" w14:textId="77777777" w:rsidR="004E16BC" w:rsidRPr="0092103E" w:rsidRDefault="004E16BC" w:rsidP="0092103E">
            <w:pPr>
              <w:spacing w:after="0" w:line="240" w:lineRule="auto"/>
              <w:jc w:val="center"/>
              <w:rPr>
                <w:rFonts w:eastAsia="Times New Roman" w:cstheme="minorHAnsi"/>
                <w:color w:val="000000"/>
              </w:rPr>
            </w:pPr>
            <w:r w:rsidRPr="0092103E">
              <w:rPr>
                <w:rFonts w:eastAsia="Times New Roman" w:cstheme="minorHAnsi"/>
                <w:color w:val="000000"/>
              </w:rPr>
              <w:t>2nd ranking</w:t>
            </w:r>
          </w:p>
        </w:tc>
      </w:tr>
      <w:tr w:rsidR="0092103E" w:rsidRPr="0092103E" w14:paraId="500E0A8E" w14:textId="77777777" w:rsidTr="000A2709">
        <w:trPr>
          <w:trHeight w:val="174"/>
        </w:trPr>
        <w:tc>
          <w:tcPr>
            <w:tcW w:w="4825" w:type="dxa"/>
            <w:tcBorders>
              <w:top w:val="nil"/>
              <w:left w:val="nil"/>
              <w:bottom w:val="nil"/>
              <w:right w:val="nil"/>
            </w:tcBorders>
            <w:shd w:val="clear" w:color="auto" w:fill="auto"/>
            <w:noWrap/>
            <w:vAlign w:val="bottom"/>
            <w:hideMark/>
          </w:tcPr>
          <w:p w14:paraId="45DF494A" w14:textId="77777777" w:rsidR="0092103E" w:rsidRPr="0092103E" w:rsidRDefault="0092103E" w:rsidP="0092103E">
            <w:pPr>
              <w:spacing w:after="0" w:line="240" w:lineRule="auto"/>
              <w:jc w:val="center"/>
              <w:rPr>
                <w:rFonts w:eastAsia="Times New Roman" w:cstheme="minorHAnsi"/>
                <w:color w:val="000000"/>
              </w:rPr>
            </w:pPr>
          </w:p>
        </w:tc>
        <w:tc>
          <w:tcPr>
            <w:tcW w:w="1524" w:type="dxa"/>
            <w:tcBorders>
              <w:top w:val="nil"/>
              <w:left w:val="nil"/>
              <w:bottom w:val="nil"/>
              <w:right w:val="nil"/>
            </w:tcBorders>
            <w:shd w:val="clear" w:color="auto" w:fill="auto"/>
            <w:noWrap/>
            <w:vAlign w:val="bottom"/>
            <w:hideMark/>
          </w:tcPr>
          <w:p w14:paraId="220B798C" w14:textId="77777777" w:rsidR="0092103E" w:rsidRPr="0092103E" w:rsidRDefault="0092103E" w:rsidP="0092103E">
            <w:pPr>
              <w:spacing w:after="0" w:line="240" w:lineRule="auto"/>
              <w:rPr>
                <w:rFonts w:eastAsia="Times New Roman" w:cstheme="minorHAnsi"/>
              </w:rPr>
            </w:pPr>
          </w:p>
        </w:tc>
        <w:tc>
          <w:tcPr>
            <w:tcW w:w="1524" w:type="dxa"/>
            <w:tcBorders>
              <w:top w:val="nil"/>
              <w:left w:val="single" w:sz="4" w:space="0" w:color="auto"/>
              <w:bottom w:val="single" w:sz="4" w:space="0" w:color="auto"/>
              <w:right w:val="single" w:sz="4" w:space="0" w:color="auto"/>
            </w:tcBorders>
            <w:shd w:val="clear" w:color="auto" w:fill="DFC9EF"/>
            <w:noWrap/>
            <w:vAlign w:val="bottom"/>
            <w:hideMark/>
          </w:tcPr>
          <w:p w14:paraId="2D42A549" w14:textId="77777777" w:rsidR="0092103E" w:rsidRPr="0092103E" w:rsidRDefault="0092103E" w:rsidP="0092103E">
            <w:pPr>
              <w:spacing w:after="0" w:line="240" w:lineRule="auto"/>
              <w:jc w:val="center"/>
              <w:rPr>
                <w:rFonts w:eastAsia="Times New Roman" w:cstheme="minorHAnsi"/>
                <w:color w:val="000000"/>
              </w:rPr>
            </w:pPr>
            <w:r w:rsidRPr="0092103E">
              <w:rPr>
                <w:rFonts w:eastAsia="Times New Roman" w:cstheme="minorHAnsi"/>
                <w:color w:val="000000"/>
              </w:rPr>
              <w:t>3rd ranking</w:t>
            </w:r>
          </w:p>
        </w:tc>
        <w:tc>
          <w:tcPr>
            <w:tcW w:w="1524" w:type="dxa"/>
            <w:tcBorders>
              <w:top w:val="nil"/>
              <w:left w:val="nil"/>
              <w:bottom w:val="single" w:sz="4" w:space="0" w:color="auto"/>
              <w:right w:val="single" w:sz="4" w:space="0" w:color="auto"/>
            </w:tcBorders>
            <w:shd w:val="clear" w:color="auto" w:fill="DFC9EF"/>
            <w:noWrap/>
            <w:vAlign w:val="bottom"/>
            <w:hideMark/>
          </w:tcPr>
          <w:p w14:paraId="70CBA88D" w14:textId="77777777" w:rsidR="0092103E" w:rsidRPr="0092103E" w:rsidRDefault="0092103E" w:rsidP="0092103E">
            <w:pPr>
              <w:spacing w:after="0" w:line="240" w:lineRule="auto"/>
              <w:jc w:val="center"/>
              <w:rPr>
                <w:rFonts w:eastAsia="Times New Roman" w:cstheme="minorHAnsi"/>
                <w:color w:val="000000"/>
              </w:rPr>
            </w:pPr>
            <w:r w:rsidRPr="0092103E">
              <w:rPr>
                <w:rFonts w:eastAsia="Times New Roman" w:cstheme="minorHAnsi"/>
                <w:color w:val="000000"/>
              </w:rPr>
              <w:t>3rd ranking</w:t>
            </w:r>
          </w:p>
        </w:tc>
      </w:tr>
    </w:tbl>
    <w:p w14:paraId="3C2A047A" w14:textId="1A3A95D7" w:rsidR="000A2709" w:rsidRDefault="00B63CC4" w:rsidP="00B63CC4">
      <w:pPr>
        <w:rPr>
          <w:i/>
          <w:sz w:val="26"/>
          <w:szCs w:val="26"/>
        </w:rPr>
      </w:pPr>
      <w:r w:rsidRPr="00A14CC3">
        <w:rPr>
          <w:i/>
          <w:sz w:val="26"/>
          <w:szCs w:val="26"/>
        </w:rPr>
        <w:t xml:space="preserve">Regional Communication </w:t>
      </w:r>
    </w:p>
    <w:p w14:paraId="70C2306B" w14:textId="54932801" w:rsidR="00480C18" w:rsidRDefault="00B60C96" w:rsidP="00286934">
      <w:r>
        <w:rPr>
          <w:noProof/>
        </w:rPr>
        <w:drawing>
          <wp:anchor distT="0" distB="0" distL="114300" distR="114300" simplePos="0" relativeHeight="251667456" behindDoc="1" locked="0" layoutInCell="1" allowOverlap="1" wp14:anchorId="4F98B41B" wp14:editId="14A4906E">
            <wp:simplePos x="0" y="0"/>
            <wp:positionH relativeFrom="margin">
              <wp:align>right</wp:align>
            </wp:positionH>
            <wp:positionV relativeFrom="paragraph">
              <wp:posOffset>7620</wp:posOffset>
            </wp:positionV>
            <wp:extent cx="3314700" cy="2101850"/>
            <wp:effectExtent l="0" t="0" r="0" b="12700"/>
            <wp:wrapTight wrapText="bothSides">
              <wp:wrapPolygon edited="0">
                <wp:start x="0" y="0"/>
                <wp:lineTo x="0" y="21535"/>
                <wp:lineTo x="21476" y="21535"/>
                <wp:lineTo x="21476" y="0"/>
                <wp:lineTo x="0" y="0"/>
              </wp:wrapPolygon>
            </wp:wrapTight>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00B63CC4">
        <w:t>Attendees were asked how they would rate NECAFS in the area of regional communication about food safety topics.</w:t>
      </w:r>
      <w:r w:rsidR="00C35D39">
        <w:t xml:space="preserve"> </w:t>
      </w:r>
      <w:r w:rsidR="002905F1">
        <w:t xml:space="preserve">NECAFS </w:t>
      </w:r>
      <w:r w:rsidR="00B63CC4">
        <w:t>enewsletters and the website</w:t>
      </w:r>
      <w:r w:rsidR="002905F1">
        <w:t xml:space="preserve"> were provided as examples of this work</w:t>
      </w:r>
      <w:r w:rsidR="00B63CC4">
        <w:t>.</w:t>
      </w:r>
      <w:r w:rsidR="00C35D39">
        <w:t xml:space="preserve"> </w:t>
      </w:r>
      <w:r w:rsidR="00B63CC4" w:rsidRPr="0045552A">
        <w:rPr>
          <w:b/>
        </w:rPr>
        <w:t>Figure 1</w:t>
      </w:r>
      <w:r w:rsidR="00B63CC4">
        <w:t xml:space="preserve"> shows that on a scale of 1 to 5, where 1 is poor and 5 is excellent, the majority of respondents (n=</w:t>
      </w:r>
      <w:r w:rsidR="00404319">
        <w:t>29</w:t>
      </w:r>
      <w:r w:rsidR="00B63CC4">
        <w:t>, 46%) rated NECAFS regional communication as excellent with a ranking of 5.</w:t>
      </w:r>
      <w:r w:rsidR="00C35D39">
        <w:t xml:space="preserve"> </w:t>
      </w:r>
      <w:r w:rsidR="00B63CC4">
        <w:t>At</w:t>
      </w:r>
      <w:r w:rsidR="00404319">
        <w:t xml:space="preserve"> 37</w:t>
      </w:r>
      <w:r w:rsidR="00B63CC4">
        <w:t>%</w:t>
      </w:r>
      <w:r w:rsidR="00404319">
        <w:t xml:space="preserve"> (n=23</w:t>
      </w:r>
      <w:r w:rsidR="00B63CC4">
        <w:t>), respondents rated NECAFS regional communication as a 4.</w:t>
      </w:r>
      <w:r w:rsidR="00C35D39">
        <w:t xml:space="preserve"> </w:t>
      </w:r>
      <w:r w:rsidR="00B63CC4">
        <w:t>Finally, 1</w:t>
      </w:r>
      <w:r w:rsidR="00404319">
        <w:t>7</w:t>
      </w:r>
      <w:r w:rsidR="00B63CC4">
        <w:t>% (n=</w:t>
      </w:r>
      <w:r w:rsidR="00404319">
        <w:t>11</w:t>
      </w:r>
      <w:r w:rsidR="00B63CC4">
        <w:t>) of respondents rated this activity as a 3.</w:t>
      </w:r>
    </w:p>
    <w:p w14:paraId="4EB1D58A" w14:textId="0608EA9F" w:rsidR="00404319" w:rsidRDefault="00480C18" w:rsidP="00B63CC4">
      <w:pPr>
        <w:rPr>
          <w:i/>
          <w:sz w:val="26"/>
          <w:szCs w:val="26"/>
        </w:rPr>
      </w:pPr>
      <w:r>
        <w:t xml:space="preserve">Communication </w:t>
      </w:r>
      <w:r w:rsidR="002905F1">
        <w:t xml:space="preserve">ranked </w:t>
      </w:r>
      <w:r>
        <w:t>highly among attendees</w:t>
      </w:r>
      <w:r w:rsidR="002905F1">
        <w:t>,</w:t>
      </w:r>
      <w:r>
        <w:t xml:space="preserve"> although several respondents noted in </w:t>
      </w:r>
      <w:r w:rsidR="00C71C6D">
        <w:t>the additional comments section of the survey that communication could be stronger, specifically in outreach to those unaware of NECAFS and the resources it provides.</w:t>
      </w:r>
      <w:r w:rsidR="00C35D39">
        <w:t xml:space="preserve"> </w:t>
      </w:r>
      <w:r w:rsidR="00C71C6D">
        <w:t>One attendee articulated that “a</w:t>
      </w:r>
      <w:r w:rsidR="00C71C6D" w:rsidRPr="00C71C6D">
        <w:t xml:space="preserve">lthough the </w:t>
      </w:r>
      <w:r w:rsidR="00C71C6D" w:rsidRPr="00C71C6D">
        <w:lastRenderedPageBreak/>
        <w:t>communication is excellent from the perspective of someone who knows and a</w:t>
      </w:r>
      <w:r w:rsidR="00C71C6D">
        <w:t>ppreciates NECAFS, outreach to n</w:t>
      </w:r>
      <w:r w:rsidR="00C71C6D" w:rsidRPr="00C71C6D">
        <w:t>ew folks should be a priority.</w:t>
      </w:r>
      <w:r w:rsidR="00C71C6D">
        <w:t>”</w:t>
      </w:r>
      <w:r w:rsidR="00C35D39">
        <w:t xml:space="preserve"> </w:t>
      </w:r>
    </w:p>
    <w:p w14:paraId="50E94697" w14:textId="77777777" w:rsidR="00B60C96" w:rsidRDefault="00B60C96" w:rsidP="00B63CC4">
      <w:pPr>
        <w:rPr>
          <w:i/>
          <w:sz w:val="26"/>
          <w:szCs w:val="26"/>
        </w:rPr>
      </w:pPr>
    </w:p>
    <w:p w14:paraId="76F63DC5" w14:textId="77777777" w:rsidR="00B60C96" w:rsidRDefault="00B60C96" w:rsidP="00B63CC4">
      <w:pPr>
        <w:rPr>
          <w:i/>
          <w:sz w:val="26"/>
          <w:szCs w:val="26"/>
        </w:rPr>
      </w:pPr>
    </w:p>
    <w:p w14:paraId="685C0A76" w14:textId="77777777" w:rsidR="00B60C96" w:rsidRDefault="00B60C96" w:rsidP="00B63CC4">
      <w:pPr>
        <w:rPr>
          <w:i/>
          <w:sz w:val="26"/>
          <w:szCs w:val="26"/>
        </w:rPr>
      </w:pPr>
    </w:p>
    <w:p w14:paraId="6F69FDCE" w14:textId="77777777" w:rsidR="00B60C96" w:rsidRDefault="00B60C96" w:rsidP="00B63CC4">
      <w:pPr>
        <w:rPr>
          <w:i/>
          <w:sz w:val="26"/>
          <w:szCs w:val="26"/>
        </w:rPr>
      </w:pPr>
    </w:p>
    <w:p w14:paraId="519BAFD1" w14:textId="614D595C" w:rsidR="00B63CC4" w:rsidRPr="00A14CC3" w:rsidRDefault="00B63CC4" w:rsidP="00B63CC4">
      <w:pPr>
        <w:rPr>
          <w:i/>
          <w:sz w:val="26"/>
          <w:szCs w:val="26"/>
        </w:rPr>
      </w:pPr>
      <w:r w:rsidRPr="00A14CC3">
        <w:rPr>
          <w:i/>
          <w:sz w:val="26"/>
          <w:szCs w:val="26"/>
        </w:rPr>
        <w:t xml:space="preserve">Regional Capacity, Competency and Collaboration </w:t>
      </w:r>
    </w:p>
    <w:p w14:paraId="5CB4D577" w14:textId="3F8C0DA4" w:rsidR="00B63CC4" w:rsidRDefault="00B60C96" w:rsidP="00B63CC4">
      <w:r>
        <w:rPr>
          <w:noProof/>
        </w:rPr>
        <w:drawing>
          <wp:anchor distT="0" distB="0" distL="114300" distR="114300" simplePos="0" relativeHeight="251668480" behindDoc="1" locked="0" layoutInCell="1" allowOverlap="1" wp14:anchorId="3CB3715B" wp14:editId="60AFE2CA">
            <wp:simplePos x="0" y="0"/>
            <wp:positionH relativeFrom="margin">
              <wp:align>right</wp:align>
            </wp:positionH>
            <wp:positionV relativeFrom="paragraph">
              <wp:posOffset>6350</wp:posOffset>
            </wp:positionV>
            <wp:extent cx="3409950" cy="2082800"/>
            <wp:effectExtent l="0" t="0" r="0" b="12700"/>
            <wp:wrapTight wrapText="bothSides">
              <wp:wrapPolygon edited="0">
                <wp:start x="0" y="0"/>
                <wp:lineTo x="0" y="21534"/>
                <wp:lineTo x="21479" y="21534"/>
                <wp:lineTo x="21479" y="0"/>
                <wp:lineTo x="0" y="0"/>
              </wp:wrapPolygon>
            </wp:wrapTight>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00B63CC4">
        <w:t>Attendees were asked how they would rate NECAFS in the area of regional capacity, competency and collaboration.</w:t>
      </w:r>
      <w:r w:rsidR="00C35D39">
        <w:t xml:space="preserve"> </w:t>
      </w:r>
      <w:r w:rsidR="00B63CC4">
        <w:t xml:space="preserve">The following were provided as examples of this area of work: webinars, </w:t>
      </w:r>
      <w:r w:rsidR="002905F1">
        <w:t xml:space="preserve">the </w:t>
      </w:r>
      <w:r w:rsidR="00B63CC4">
        <w:t>training support stipend program</w:t>
      </w:r>
      <w:r w:rsidR="002905F1">
        <w:t>,</w:t>
      </w:r>
      <w:r w:rsidR="00B63CC4">
        <w:t xml:space="preserve"> and working groups.</w:t>
      </w:r>
      <w:r w:rsidR="00C35D39">
        <w:t xml:space="preserve"> </w:t>
      </w:r>
      <w:r w:rsidR="00B63CC4" w:rsidRPr="0045552A">
        <w:rPr>
          <w:b/>
        </w:rPr>
        <w:t xml:space="preserve">Figure </w:t>
      </w:r>
      <w:r w:rsidR="00B63CC4">
        <w:rPr>
          <w:b/>
        </w:rPr>
        <w:t>2</w:t>
      </w:r>
      <w:r w:rsidR="00B63CC4">
        <w:t xml:space="preserve"> shows that on a scale of 1 to 5 where 1 is poor and 5 is excellent, the respondents rated NECAFS regional capacity, comp</w:t>
      </w:r>
      <w:r w:rsidR="00404319">
        <w:t>etency and collaboration with 54</w:t>
      </w:r>
      <w:r w:rsidR="00B63CC4">
        <w:t>% (n=</w:t>
      </w:r>
      <w:r w:rsidR="00404319">
        <w:t>34</w:t>
      </w:r>
      <w:r w:rsidR="00B63CC4">
        <w:t>) choosing rating 5 and 4</w:t>
      </w:r>
      <w:r w:rsidR="00404319">
        <w:t>3</w:t>
      </w:r>
      <w:r w:rsidR="00B63CC4">
        <w:t xml:space="preserve">% </w:t>
      </w:r>
      <w:r w:rsidR="00404319">
        <w:t>(n=27</w:t>
      </w:r>
      <w:r w:rsidR="00B63CC4">
        <w:t>) choosing rating 4.</w:t>
      </w:r>
      <w:r w:rsidR="00C35D39">
        <w:t xml:space="preserve"> </w:t>
      </w:r>
      <w:r w:rsidR="00404319">
        <w:t>Finally, 3% (n=2</w:t>
      </w:r>
      <w:r w:rsidR="00B63CC4">
        <w:t>), respondents rated NECAFS in this area as a 3.</w:t>
      </w:r>
      <w:r w:rsidR="00C35D39">
        <w:t xml:space="preserve"> </w:t>
      </w:r>
    </w:p>
    <w:p w14:paraId="2D9D02DE" w14:textId="714954F3" w:rsidR="00B63CC4" w:rsidRPr="00A14CC3" w:rsidRDefault="00B63CC4" w:rsidP="00B63CC4">
      <w:pPr>
        <w:rPr>
          <w:i/>
          <w:sz w:val="26"/>
          <w:szCs w:val="26"/>
        </w:rPr>
      </w:pPr>
      <w:r w:rsidRPr="00A14CC3">
        <w:rPr>
          <w:i/>
          <w:sz w:val="26"/>
          <w:szCs w:val="26"/>
        </w:rPr>
        <w:t>Developing and Delivering Educational Programs</w:t>
      </w:r>
    </w:p>
    <w:p w14:paraId="7B83D184" w14:textId="42723BFC" w:rsidR="00B63CC4" w:rsidRPr="00CE4BC0" w:rsidRDefault="00B60C96" w:rsidP="00B63CC4">
      <w:r>
        <w:rPr>
          <w:noProof/>
        </w:rPr>
        <w:drawing>
          <wp:anchor distT="0" distB="0" distL="114300" distR="114300" simplePos="0" relativeHeight="251669504" behindDoc="1" locked="0" layoutInCell="1" allowOverlap="1" wp14:anchorId="191EFF69" wp14:editId="6BD18D3D">
            <wp:simplePos x="0" y="0"/>
            <wp:positionH relativeFrom="margin">
              <wp:align>right</wp:align>
            </wp:positionH>
            <wp:positionV relativeFrom="paragraph">
              <wp:posOffset>59055</wp:posOffset>
            </wp:positionV>
            <wp:extent cx="3384550" cy="2133600"/>
            <wp:effectExtent l="0" t="0" r="6350" b="0"/>
            <wp:wrapTight wrapText="bothSides">
              <wp:wrapPolygon edited="0">
                <wp:start x="0" y="0"/>
                <wp:lineTo x="0" y="21407"/>
                <wp:lineTo x="21519" y="21407"/>
                <wp:lineTo x="21519" y="0"/>
                <wp:lineTo x="0" y="0"/>
              </wp:wrapPolygon>
            </wp:wrapTight>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00DB5F18">
        <w:t xml:space="preserve">Conference attendees </w:t>
      </w:r>
      <w:r w:rsidR="00B63CC4">
        <w:t>were asked how they would rate NECAFS in the area of developing and delivering educational programs.</w:t>
      </w:r>
      <w:r w:rsidR="00C35D39">
        <w:t xml:space="preserve"> </w:t>
      </w:r>
      <w:r w:rsidR="00B63CC4">
        <w:t xml:space="preserve">The following were provided as examples of this area of work: training delivery support, special projects grants, </w:t>
      </w:r>
      <w:r w:rsidR="00DB5F18">
        <w:t xml:space="preserve">the </w:t>
      </w:r>
      <w:r w:rsidR="00B63CC4">
        <w:t>annual meeting, and the clearinghouse site.</w:t>
      </w:r>
      <w:r w:rsidR="00C35D39">
        <w:t xml:space="preserve"> </w:t>
      </w:r>
      <w:r w:rsidR="00B63CC4">
        <w:rPr>
          <w:b/>
        </w:rPr>
        <w:t>Figure 3</w:t>
      </w:r>
      <w:r w:rsidR="00B63CC4">
        <w:t xml:space="preserve"> shows that on a scale of 1 to 5 where 1 is poor and 5 is excellent, </w:t>
      </w:r>
      <w:r w:rsidR="006326D3">
        <w:t>the majority of respondents</w:t>
      </w:r>
      <w:r w:rsidR="00E20CD0">
        <w:t xml:space="preserve"> </w:t>
      </w:r>
      <w:r w:rsidR="00DB5F18">
        <w:t>(</w:t>
      </w:r>
      <w:r w:rsidR="00E20CD0">
        <w:t>55%</w:t>
      </w:r>
      <w:r w:rsidR="00DB5F18">
        <w:t xml:space="preserve">, </w:t>
      </w:r>
      <w:r w:rsidR="00E20CD0">
        <w:t>n=35</w:t>
      </w:r>
      <w:r w:rsidR="00B63CC4">
        <w:t>) rated NECAFS regional communication as excellent with a ranking of 5.</w:t>
      </w:r>
      <w:r w:rsidR="00C35D39">
        <w:t xml:space="preserve"> </w:t>
      </w:r>
      <w:r w:rsidR="00B63CC4">
        <w:t xml:space="preserve">At </w:t>
      </w:r>
      <w:r w:rsidR="00E20CD0">
        <w:t>36</w:t>
      </w:r>
      <w:r w:rsidR="00B63CC4">
        <w:t>% (n=</w:t>
      </w:r>
      <w:r w:rsidR="00E20CD0">
        <w:t>23</w:t>
      </w:r>
      <w:r w:rsidR="00B63CC4">
        <w:t>), respondents rated NECAFS regional communication a</w:t>
      </w:r>
      <w:r w:rsidR="00E20CD0">
        <w:t>s a 4.</w:t>
      </w:r>
      <w:r w:rsidR="00C35D39">
        <w:t xml:space="preserve"> </w:t>
      </w:r>
      <w:r w:rsidR="00E20CD0">
        <w:t>Finally, 9</w:t>
      </w:r>
      <w:r w:rsidR="00B63CC4">
        <w:t xml:space="preserve">% (n=6) of respondents rated this </w:t>
      </w:r>
      <w:r w:rsidR="00DB5F18">
        <w:t xml:space="preserve">capacity </w:t>
      </w:r>
      <w:r w:rsidR="00B63CC4">
        <w:t>as a 3.</w:t>
      </w:r>
      <w:r w:rsidR="00C35D39">
        <w:t xml:space="preserve">   </w:t>
      </w:r>
    </w:p>
    <w:p w14:paraId="455364A4" w14:textId="59C68008" w:rsidR="0092103E" w:rsidRDefault="0092103E" w:rsidP="00FB1419">
      <w:pPr>
        <w:rPr>
          <w:i/>
          <w:sz w:val="26"/>
          <w:szCs w:val="26"/>
        </w:rPr>
      </w:pPr>
    </w:p>
    <w:p w14:paraId="0D548D95" w14:textId="77777777" w:rsidR="00DB5F18" w:rsidRDefault="00DB5F18" w:rsidP="00FB1419">
      <w:pPr>
        <w:rPr>
          <w:i/>
          <w:sz w:val="26"/>
          <w:szCs w:val="26"/>
        </w:rPr>
      </w:pPr>
    </w:p>
    <w:sectPr w:rsidR="00DB5F18">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349FDD" w14:textId="77777777" w:rsidR="001E69FD" w:rsidRDefault="001E69FD" w:rsidP="008E7E5E">
      <w:pPr>
        <w:spacing w:after="0" w:line="240" w:lineRule="auto"/>
      </w:pPr>
      <w:r>
        <w:separator/>
      </w:r>
    </w:p>
  </w:endnote>
  <w:endnote w:type="continuationSeparator" w:id="0">
    <w:p w14:paraId="1936CA8C" w14:textId="77777777" w:rsidR="001E69FD" w:rsidRDefault="001E69FD" w:rsidP="008E7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3042098"/>
      <w:docPartObj>
        <w:docPartGallery w:val="Page Numbers (Bottom of Page)"/>
        <w:docPartUnique/>
      </w:docPartObj>
    </w:sdtPr>
    <w:sdtEndPr>
      <w:rPr>
        <w:noProof/>
      </w:rPr>
    </w:sdtEndPr>
    <w:sdtContent>
      <w:p w14:paraId="41600A79" w14:textId="04542AB7" w:rsidR="001A6C24" w:rsidRDefault="001A6C24">
        <w:pPr>
          <w:pStyle w:val="Footer"/>
          <w:jc w:val="center"/>
        </w:pPr>
        <w:r>
          <w:fldChar w:fldCharType="begin"/>
        </w:r>
        <w:r>
          <w:instrText xml:space="preserve"> PAGE   \* MERGEFORMAT </w:instrText>
        </w:r>
        <w:r>
          <w:fldChar w:fldCharType="separate"/>
        </w:r>
        <w:r w:rsidR="00A84566">
          <w:rPr>
            <w:noProof/>
          </w:rPr>
          <w:t>2</w:t>
        </w:r>
        <w:r>
          <w:rPr>
            <w:noProof/>
          </w:rPr>
          <w:fldChar w:fldCharType="end"/>
        </w:r>
      </w:p>
    </w:sdtContent>
  </w:sdt>
  <w:p w14:paraId="24BE4692" w14:textId="77777777" w:rsidR="001A6C24" w:rsidRDefault="001A6C2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FDB6C3" w14:textId="77777777" w:rsidR="001E69FD" w:rsidRDefault="001E69FD" w:rsidP="008E7E5E">
      <w:pPr>
        <w:spacing w:after="0" w:line="240" w:lineRule="auto"/>
      </w:pPr>
      <w:r>
        <w:separator/>
      </w:r>
    </w:p>
  </w:footnote>
  <w:footnote w:type="continuationSeparator" w:id="0">
    <w:p w14:paraId="686215B7" w14:textId="77777777" w:rsidR="001E69FD" w:rsidRDefault="001E69FD" w:rsidP="008E7E5E">
      <w:pPr>
        <w:spacing w:after="0" w:line="240" w:lineRule="auto"/>
      </w:pPr>
      <w:r>
        <w:continuationSeparator/>
      </w:r>
    </w:p>
  </w:footnote>
  <w:footnote w:id="1">
    <w:p w14:paraId="526B899B" w14:textId="046D90EB" w:rsidR="001A6C24" w:rsidRDefault="001A6C24" w:rsidP="003B2B00">
      <w:r w:rsidRPr="00A14CC3">
        <w:rPr>
          <w:rStyle w:val="FootnoteReference"/>
          <w:sz w:val="20"/>
          <w:szCs w:val="20"/>
        </w:rPr>
        <w:footnoteRef/>
      </w:r>
      <w:r w:rsidRPr="00A14CC3">
        <w:rPr>
          <w:sz w:val="20"/>
          <w:szCs w:val="20"/>
        </w:rPr>
        <w:t xml:space="preserve"> Connecticut, Delaware, Maine, Massachusetts, Maryland, New Hampshire, New Jersey, New York, Pennsylvania, Rhode Island, Vermont, and West Virginia</w:t>
      </w:r>
    </w:p>
  </w:footnote>
  <w:footnote w:id="2">
    <w:p w14:paraId="7BEDEA3E" w14:textId="52880A6C" w:rsidR="001A6C24" w:rsidRDefault="001A6C24">
      <w:pPr>
        <w:pStyle w:val="FootnoteText"/>
      </w:pPr>
      <w:r>
        <w:rPr>
          <w:rStyle w:val="FootnoteReference"/>
        </w:rPr>
        <w:footnoteRef/>
      </w:r>
      <w:r>
        <w:t xml:space="preserve"> State Produce Implementation Cooperative Agreement Program, funding to support states in planning, establishing, and/or enhancing state produce safety programs.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3574D"/>
    <w:multiLevelType w:val="hybridMultilevel"/>
    <w:tmpl w:val="BA4A4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7A123D"/>
    <w:multiLevelType w:val="hybridMultilevel"/>
    <w:tmpl w:val="B812F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9310A5"/>
    <w:multiLevelType w:val="hybridMultilevel"/>
    <w:tmpl w:val="9B688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912D85"/>
    <w:multiLevelType w:val="hybridMultilevel"/>
    <w:tmpl w:val="E80A7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33394A"/>
    <w:multiLevelType w:val="hybridMultilevel"/>
    <w:tmpl w:val="0A104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7C2F3F"/>
    <w:multiLevelType w:val="hybridMultilevel"/>
    <w:tmpl w:val="84D6A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1615DA"/>
    <w:multiLevelType w:val="hybridMultilevel"/>
    <w:tmpl w:val="898C5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2"/>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FA0"/>
    <w:rsid w:val="00002D0F"/>
    <w:rsid w:val="00012F15"/>
    <w:rsid w:val="00017D8E"/>
    <w:rsid w:val="0005108B"/>
    <w:rsid w:val="000512A8"/>
    <w:rsid w:val="00075EBD"/>
    <w:rsid w:val="0008268A"/>
    <w:rsid w:val="000A235F"/>
    <w:rsid w:val="000A2709"/>
    <w:rsid w:val="000A7FD2"/>
    <w:rsid w:val="000C5A56"/>
    <w:rsid w:val="000C68D3"/>
    <w:rsid w:val="000D0E54"/>
    <w:rsid w:val="000E625E"/>
    <w:rsid w:val="000F72F4"/>
    <w:rsid w:val="00120C63"/>
    <w:rsid w:val="00142037"/>
    <w:rsid w:val="00145E0A"/>
    <w:rsid w:val="001476DA"/>
    <w:rsid w:val="00154D3E"/>
    <w:rsid w:val="0015542C"/>
    <w:rsid w:val="00155CF2"/>
    <w:rsid w:val="0016189C"/>
    <w:rsid w:val="001736A1"/>
    <w:rsid w:val="00180D22"/>
    <w:rsid w:val="001A2445"/>
    <w:rsid w:val="001A6C24"/>
    <w:rsid w:val="001B5500"/>
    <w:rsid w:val="001E2E10"/>
    <w:rsid w:val="001E69FD"/>
    <w:rsid w:val="002076F3"/>
    <w:rsid w:val="0021185C"/>
    <w:rsid w:val="00213A47"/>
    <w:rsid w:val="00247197"/>
    <w:rsid w:val="00266896"/>
    <w:rsid w:val="002731D9"/>
    <w:rsid w:val="00286934"/>
    <w:rsid w:val="002905F1"/>
    <w:rsid w:val="002942DA"/>
    <w:rsid w:val="002A429D"/>
    <w:rsid w:val="002B26A5"/>
    <w:rsid w:val="002B3420"/>
    <w:rsid w:val="002D12B3"/>
    <w:rsid w:val="00301F64"/>
    <w:rsid w:val="003030DC"/>
    <w:rsid w:val="003050B0"/>
    <w:rsid w:val="00315D3C"/>
    <w:rsid w:val="00323FC9"/>
    <w:rsid w:val="00337960"/>
    <w:rsid w:val="00344C64"/>
    <w:rsid w:val="00363B59"/>
    <w:rsid w:val="00370297"/>
    <w:rsid w:val="00372531"/>
    <w:rsid w:val="003727ED"/>
    <w:rsid w:val="00376808"/>
    <w:rsid w:val="00394755"/>
    <w:rsid w:val="003A6C27"/>
    <w:rsid w:val="003B2B00"/>
    <w:rsid w:val="003D636C"/>
    <w:rsid w:val="003E6953"/>
    <w:rsid w:val="003E78E5"/>
    <w:rsid w:val="003F1E86"/>
    <w:rsid w:val="00404319"/>
    <w:rsid w:val="00412FC3"/>
    <w:rsid w:val="0042211B"/>
    <w:rsid w:val="0042499F"/>
    <w:rsid w:val="0045552A"/>
    <w:rsid w:val="00480C18"/>
    <w:rsid w:val="00494A31"/>
    <w:rsid w:val="004A1884"/>
    <w:rsid w:val="004A4669"/>
    <w:rsid w:val="004B6D0F"/>
    <w:rsid w:val="004C12EA"/>
    <w:rsid w:val="004C61B9"/>
    <w:rsid w:val="004D18A5"/>
    <w:rsid w:val="004D6917"/>
    <w:rsid w:val="004E16BC"/>
    <w:rsid w:val="004F6D3B"/>
    <w:rsid w:val="00514D44"/>
    <w:rsid w:val="00515E4B"/>
    <w:rsid w:val="005636A8"/>
    <w:rsid w:val="00566668"/>
    <w:rsid w:val="0057540B"/>
    <w:rsid w:val="00576D94"/>
    <w:rsid w:val="005A451A"/>
    <w:rsid w:val="005B43FD"/>
    <w:rsid w:val="005C69B5"/>
    <w:rsid w:val="005D3234"/>
    <w:rsid w:val="005E1B41"/>
    <w:rsid w:val="005F128D"/>
    <w:rsid w:val="006326D3"/>
    <w:rsid w:val="00677BF4"/>
    <w:rsid w:val="006B0328"/>
    <w:rsid w:val="006D2A6D"/>
    <w:rsid w:val="006E362B"/>
    <w:rsid w:val="006F6C76"/>
    <w:rsid w:val="00702AE3"/>
    <w:rsid w:val="00714C06"/>
    <w:rsid w:val="00780E3F"/>
    <w:rsid w:val="00784587"/>
    <w:rsid w:val="0078730D"/>
    <w:rsid w:val="007874C3"/>
    <w:rsid w:val="007A1480"/>
    <w:rsid w:val="007B2E6A"/>
    <w:rsid w:val="007B5BB4"/>
    <w:rsid w:val="007C0C7C"/>
    <w:rsid w:val="007C2285"/>
    <w:rsid w:val="007D4F92"/>
    <w:rsid w:val="007D63CC"/>
    <w:rsid w:val="007F3166"/>
    <w:rsid w:val="007F617E"/>
    <w:rsid w:val="00801FFF"/>
    <w:rsid w:val="00804D65"/>
    <w:rsid w:val="00807571"/>
    <w:rsid w:val="00816281"/>
    <w:rsid w:val="00844963"/>
    <w:rsid w:val="00856746"/>
    <w:rsid w:val="00856C68"/>
    <w:rsid w:val="008707CF"/>
    <w:rsid w:val="008723E9"/>
    <w:rsid w:val="0087410C"/>
    <w:rsid w:val="008750A7"/>
    <w:rsid w:val="008A60DB"/>
    <w:rsid w:val="008A64F8"/>
    <w:rsid w:val="008D3A97"/>
    <w:rsid w:val="008E0B32"/>
    <w:rsid w:val="008E2276"/>
    <w:rsid w:val="008E5696"/>
    <w:rsid w:val="008E60B8"/>
    <w:rsid w:val="008E7E5E"/>
    <w:rsid w:val="0090359E"/>
    <w:rsid w:val="0090784B"/>
    <w:rsid w:val="009106BE"/>
    <w:rsid w:val="00913FA0"/>
    <w:rsid w:val="0092103E"/>
    <w:rsid w:val="009315E9"/>
    <w:rsid w:val="00931940"/>
    <w:rsid w:val="00933FEE"/>
    <w:rsid w:val="00940347"/>
    <w:rsid w:val="009449A2"/>
    <w:rsid w:val="00991A46"/>
    <w:rsid w:val="00994047"/>
    <w:rsid w:val="009A27D9"/>
    <w:rsid w:val="009A3D9F"/>
    <w:rsid w:val="009A49DB"/>
    <w:rsid w:val="009C51B2"/>
    <w:rsid w:val="009C68ED"/>
    <w:rsid w:val="009F333E"/>
    <w:rsid w:val="00A10767"/>
    <w:rsid w:val="00A14CC3"/>
    <w:rsid w:val="00A178A0"/>
    <w:rsid w:val="00A32F50"/>
    <w:rsid w:val="00A654BD"/>
    <w:rsid w:val="00A83121"/>
    <w:rsid w:val="00A84566"/>
    <w:rsid w:val="00A86F56"/>
    <w:rsid w:val="00AA2593"/>
    <w:rsid w:val="00AB460B"/>
    <w:rsid w:val="00AC03AD"/>
    <w:rsid w:val="00AC44B7"/>
    <w:rsid w:val="00AC47CF"/>
    <w:rsid w:val="00AD565A"/>
    <w:rsid w:val="00B07F1C"/>
    <w:rsid w:val="00B215FF"/>
    <w:rsid w:val="00B60C96"/>
    <w:rsid w:val="00B63CC4"/>
    <w:rsid w:val="00B67CAC"/>
    <w:rsid w:val="00B76924"/>
    <w:rsid w:val="00B95879"/>
    <w:rsid w:val="00BA138D"/>
    <w:rsid w:val="00BC478A"/>
    <w:rsid w:val="00BD08D5"/>
    <w:rsid w:val="00BE2593"/>
    <w:rsid w:val="00BF5754"/>
    <w:rsid w:val="00C350FF"/>
    <w:rsid w:val="00C35D39"/>
    <w:rsid w:val="00C711BC"/>
    <w:rsid w:val="00C71C6D"/>
    <w:rsid w:val="00C77B6D"/>
    <w:rsid w:val="00C9563A"/>
    <w:rsid w:val="00C97F08"/>
    <w:rsid w:val="00CA6485"/>
    <w:rsid w:val="00CB50FD"/>
    <w:rsid w:val="00CD3E40"/>
    <w:rsid w:val="00CD5FE0"/>
    <w:rsid w:val="00CE2CF7"/>
    <w:rsid w:val="00CE4BC0"/>
    <w:rsid w:val="00CF1120"/>
    <w:rsid w:val="00CF5E52"/>
    <w:rsid w:val="00D07A80"/>
    <w:rsid w:val="00D11D08"/>
    <w:rsid w:val="00D21894"/>
    <w:rsid w:val="00D36EAC"/>
    <w:rsid w:val="00D83C4A"/>
    <w:rsid w:val="00D840DC"/>
    <w:rsid w:val="00D914E2"/>
    <w:rsid w:val="00D966B9"/>
    <w:rsid w:val="00D968D9"/>
    <w:rsid w:val="00DA1046"/>
    <w:rsid w:val="00DA4A80"/>
    <w:rsid w:val="00DB264C"/>
    <w:rsid w:val="00DB5F18"/>
    <w:rsid w:val="00DC1CA0"/>
    <w:rsid w:val="00DD307D"/>
    <w:rsid w:val="00DD7BAB"/>
    <w:rsid w:val="00DE54C4"/>
    <w:rsid w:val="00DE7EE2"/>
    <w:rsid w:val="00E075FE"/>
    <w:rsid w:val="00E13603"/>
    <w:rsid w:val="00E20CD0"/>
    <w:rsid w:val="00E20FAC"/>
    <w:rsid w:val="00E220AE"/>
    <w:rsid w:val="00E50D30"/>
    <w:rsid w:val="00E70A5F"/>
    <w:rsid w:val="00E73EA2"/>
    <w:rsid w:val="00E77473"/>
    <w:rsid w:val="00E927CE"/>
    <w:rsid w:val="00E941F1"/>
    <w:rsid w:val="00EB0CA6"/>
    <w:rsid w:val="00EB4D08"/>
    <w:rsid w:val="00EF3781"/>
    <w:rsid w:val="00EF616D"/>
    <w:rsid w:val="00F00EBB"/>
    <w:rsid w:val="00F025D4"/>
    <w:rsid w:val="00F0430B"/>
    <w:rsid w:val="00F06B03"/>
    <w:rsid w:val="00F11759"/>
    <w:rsid w:val="00F17E69"/>
    <w:rsid w:val="00F354CC"/>
    <w:rsid w:val="00F35E1E"/>
    <w:rsid w:val="00F6105A"/>
    <w:rsid w:val="00F6313D"/>
    <w:rsid w:val="00F900F1"/>
    <w:rsid w:val="00F93DF0"/>
    <w:rsid w:val="00F97FA0"/>
    <w:rsid w:val="00FA43AB"/>
    <w:rsid w:val="00FB1419"/>
    <w:rsid w:val="00FB30E7"/>
    <w:rsid w:val="00FC02EF"/>
    <w:rsid w:val="00FC6DDE"/>
    <w:rsid w:val="00FF4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73D84"/>
  <w15:chartTrackingRefBased/>
  <w15:docId w15:val="{BE47DD9E-6932-4EF8-9AE7-C2B6BF089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941F1"/>
    <w:rPr>
      <w:sz w:val="16"/>
      <w:szCs w:val="16"/>
    </w:rPr>
  </w:style>
  <w:style w:type="paragraph" w:styleId="CommentText">
    <w:name w:val="annotation text"/>
    <w:basedOn w:val="Normal"/>
    <w:link w:val="CommentTextChar"/>
    <w:uiPriority w:val="99"/>
    <w:unhideWhenUsed/>
    <w:rsid w:val="00E941F1"/>
    <w:pPr>
      <w:spacing w:line="240" w:lineRule="auto"/>
    </w:pPr>
    <w:rPr>
      <w:sz w:val="20"/>
      <w:szCs w:val="20"/>
    </w:rPr>
  </w:style>
  <w:style w:type="character" w:customStyle="1" w:styleId="CommentTextChar">
    <w:name w:val="Comment Text Char"/>
    <w:basedOn w:val="DefaultParagraphFont"/>
    <w:link w:val="CommentText"/>
    <w:uiPriority w:val="99"/>
    <w:rsid w:val="00E941F1"/>
    <w:rPr>
      <w:sz w:val="20"/>
      <w:szCs w:val="20"/>
    </w:rPr>
  </w:style>
  <w:style w:type="paragraph" w:styleId="CommentSubject">
    <w:name w:val="annotation subject"/>
    <w:basedOn w:val="CommentText"/>
    <w:next w:val="CommentText"/>
    <w:link w:val="CommentSubjectChar"/>
    <w:uiPriority w:val="99"/>
    <w:semiHidden/>
    <w:unhideWhenUsed/>
    <w:rsid w:val="00E941F1"/>
    <w:rPr>
      <w:b/>
      <w:bCs/>
    </w:rPr>
  </w:style>
  <w:style w:type="character" w:customStyle="1" w:styleId="CommentSubjectChar">
    <w:name w:val="Comment Subject Char"/>
    <w:basedOn w:val="CommentTextChar"/>
    <w:link w:val="CommentSubject"/>
    <w:uiPriority w:val="99"/>
    <w:semiHidden/>
    <w:rsid w:val="00E941F1"/>
    <w:rPr>
      <w:b/>
      <w:bCs/>
      <w:sz w:val="20"/>
      <w:szCs w:val="20"/>
    </w:rPr>
  </w:style>
  <w:style w:type="paragraph" w:styleId="BalloonText">
    <w:name w:val="Balloon Text"/>
    <w:basedOn w:val="Normal"/>
    <w:link w:val="BalloonTextChar"/>
    <w:uiPriority w:val="99"/>
    <w:semiHidden/>
    <w:unhideWhenUsed/>
    <w:rsid w:val="00E941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41F1"/>
    <w:rPr>
      <w:rFonts w:ascii="Segoe UI" w:hAnsi="Segoe UI" w:cs="Segoe UI"/>
      <w:sz w:val="18"/>
      <w:szCs w:val="18"/>
    </w:rPr>
  </w:style>
  <w:style w:type="paragraph" w:styleId="FootnoteText">
    <w:name w:val="footnote text"/>
    <w:basedOn w:val="Normal"/>
    <w:link w:val="FootnoteTextChar"/>
    <w:uiPriority w:val="99"/>
    <w:semiHidden/>
    <w:unhideWhenUsed/>
    <w:rsid w:val="008E7E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7E5E"/>
    <w:rPr>
      <w:sz w:val="20"/>
      <w:szCs w:val="20"/>
    </w:rPr>
  </w:style>
  <w:style w:type="character" w:styleId="FootnoteReference">
    <w:name w:val="footnote reference"/>
    <w:basedOn w:val="DefaultParagraphFont"/>
    <w:uiPriority w:val="99"/>
    <w:semiHidden/>
    <w:unhideWhenUsed/>
    <w:rsid w:val="008E7E5E"/>
    <w:rPr>
      <w:vertAlign w:val="superscript"/>
    </w:rPr>
  </w:style>
  <w:style w:type="paragraph" w:styleId="Header">
    <w:name w:val="header"/>
    <w:basedOn w:val="Normal"/>
    <w:link w:val="HeaderChar"/>
    <w:uiPriority w:val="99"/>
    <w:unhideWhenUsed/>
    <w:rsid w:val="004249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499F"/>
  </w:style>
  <w:style w:type="paragraph" w:styleId="Footer">
    <w:name w:val="footer"/>
    <w:basedOn w:val="Normal"/>
    <w:link w:val="FooterChar"/>
    <w:uiPriority w:val="99"/>
    <w:unhideWhenUsed/>
    <w:rsid w:val="004249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499F"/>
  </w:style>
  <w:style w:type="paragraph" w:styleId="Title">
    <w:name w:val="Title"/>
    <w:basedOn w:val="Normal"/>
    <w:next w:val="Normal"/>
    <w:link w:val="TitleChar"/>
    <w:uiPriority w:val="10"/>
    <w:qFormat/>
    <w:rsid w:val="00EB0C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0C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0CA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B0CA6"/>
    <w:rPr>
      <w:rFonts w:eastAsiaTheme="minorEastAsia"/>
      <w:color w:val="5A5A5A" w:themeColor="text1" w:themeTint="A5"/>
      <w:spacing w:val="15"/>
    </w:rPr>
  </w:style>
  <w:style w:type="table" w:styleId="TableGrid">
    <w:name w:val="Table Grid"/>
    <w:basedOn w:val="TableNormal"/>
    <w:uiPriority w:val="39"/>
    <w:rsid w:val="00515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3B59"/>
    <w:pPr>
      <w:ind w:left="720"/>
      <w:contextualSpacing/>
    </w:pPr>
  </w:style>
  <w:style w:type="paragraph" w:styleId="Revision">
    <w:name w:val="Revision"/>
    <w:hidden/>
    <w:uiPriority w:val="99"/>
    <w:semiHidden/>
    <w:rsid w:val="00DD7B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667788">
      <w:bodyDiv w:val="1"/>
      <w:marLeft w:val="0"/>
      <w:marRight w:val="0"/>
      <w:marTop w:val="0"/>
      <w:marBottom w:val="0"/>
      <w:divBdr>
        <w:top w:val="none" w:sz="0" w:space="0" w:color="auto"/>
        <w:left w:val="none" w:sz="0" w:space="0" w:color="auto"/>
        <w:bottom w:val="none" w:sz="0" w:space="0" w:color="auto"/>
        <w:right w:val="none" w:sz="0" w:space="0" w:color="auto"/>
      </w:divBdr>
    </w:div>
    <w:div w:id="1095979884">
      <w:bodyDiv w:val="1"/>
      <w:marLeft w:val="0"/>
      <w:marRight w:val="0"/>
      <w:marTop w:val="0"/>
      <w:marBottom w:val="0"/>
      <w:divBdr>
        <w:top w:val="none" w:sz="0" w:space="0" w:color="auto"/>
        <w:left w:val="none" w:sz="0" w:space="0" w:color="auto"/>
        <w:bottom w:val="none" w:sz="0" w:space="0" w:color="auto"/>
        <w:right w:val="none" w:sz="0" w:space="0" w:color="auto"/>
      </w:divBdr>
    </w:div>
    <w:div w:id="1454009853">
      <w:bodyDiv w:val="1"/>
      <w:marLeft w:val="0"/>
      <w:marRight w:val="0"/>
      <w:marTop w:val="0"/>
      <w:marBottom w:val="0"/>
      <w:divBdr>
        <w:top w:val="none" w:sz="0" w:space="0" w:color="auto"/>
        <w:left w:val="none" w:sz="0" w:space="0" w:color="auto"/>
        <w:bottom w:val="none" w:sz="0" w:space="0" w:color="auto"/>
        <w:right w:val="none" w:sz="0" w:space="0" w:color="auto"/>
      </w:divBdr>
    </w:div>
    <w:div w:id="192113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enewbold\Dropbox\2015%20FDA%20Regional%20Center%20Proposal\Project%20Folder\Evaluation\Annual%20Meeting%202019\2019%20Summary%20Stat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50" b="0" i="0" baseline="0">
                <a:effectLst/>
              </a:rPr>
              <a:t>Figure 1: Rating of NECAFS in Regional Communication</a:t>
            </a:r>
            <a:endParaRPr lang="en-US" sz="900">
              <a:effectLst/>
            </a:endParaRPr>
          </a:p>
        </c:rich>
      </c:tx>
      <c:layout>
        <c:manualLayout>
          <c:xMode val="edge"/>
          <c:yMode val="edge"/>
          <c:x val="0.10584711286089239"/>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1"/>
          <c:order val="1"/>
          <c:spPr>
            <a:solidFill>
              <a:schemeClr val="accent5">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Sheet6!$C$2:$C$6</c:f>
              <c:numCache>
                <c:formatCode>General</c:formatCode>
                <c:ptCount val="5"/>
                <c:pt idx="0">
                  <c:v>1</c:v>
                </c:pt>
                <c:pt idx="1">
                  <c:v>2</c:v>
                </c:pt>
                <c:pt idx="2">
                  <c:v>3</c:v>
                </c:pt>
                <c:pt idx="3">
                  <c:v>4</c:v>
                </c:pt>
                <c:pt idx="4">
                  <c:v>5</c:v>
                </c:pt>
              </c:numCache>
            </c:numRef>
          </c:cat>
          <c:val>
            <c:numRef>
              <c:f>Sheet6!$D$2:$D$6</c:f>
              <c:numCache>
                <c:formatCode>0%</c:formatCode>
                <c:ptCount val="5"/>
                <c:pt idx="0">
                  <c:v>0</c:v>
                </c:pt>
                <c:pt idx="1">
                  <c:v>0</c:v>
                </c:pt>
                <c:pt idx="2">
                  <c:v>0.17460317460317459</c:v>
                </c:pt>
                <c:pt idx="3">
                  <c:v>0.36507936507936506</c:v>
                </c:pt>
                <c:pt idx="4">
                  <c:v>0.46031746031746029</c:v>
                </c:pt>
              </c:numCache>
            </c:numRef>
          </c:val>
          <c:extLst>
            <c:ext xmlns:c16="http://schemas.microsoft.com/office/drawing/2014/chart" uri="{C3380CC4-5D6E-409C-BE32-E72D297353CC}">
              <c16:uniqueId val="{00000000-D7C1-4650-AA01-C63754ABA356}"/>
            </c:ext>
          </c:extLst>
        </c:ser>
        <c:dLbls>
          <c:showLegendKey val="0"/>
          <c:showVal val="0"/>
          <c:showCatName val="0"/>
          <c:showSerName val="0"/>
          <c:showPercent val="0"/>
          <c:showBubbleSize val="0"/>
        </c:dLbls>
        <c:gapWidth val="182"/>
        <c:axId val="555422896"/>
        <c:axId val="555420600"/>
        <c:extLst>
          <c:ext xmlns:c15="http://schemas.microsoft.com/office/drawing/2012/chart" uri="{02D57815-91ED-43cb-92C2-25804820EDAC}">
            <c15:filteredBarSeries>
              <c15:ser>
                <c:idx val="0"/>
                <c:order val="0"/>
                <c:spPr>
                  <a:solidFill>
                    <a:schemeClr val="accent1"/>
                  </a:solidFill>
                  <a:ln>
                    <a:noFill/>
                  </a:ln>
                  <a:effectLst/>
                </c:spPr>
                <c:invertIfNegative val="0"/>
                <c:cat>
                  <c:numRef>
                    <c:extLst>
                      <c:ext uri="{02D57815-91ED-43cb-92C2-25804820EDAC}">
                        <c15:formulaRef>
                          <c15:sqref>Sheet6!$C$2:$C$6</c15:sqref>
                        </c15:formulaRef>
                      </c:ext>
                    </c:extLst>
                    <c:numCache>
                      <c:formatCode>General</c:formatCode>
                      <c:ptCount val="5"/>
                      <c:pt idx="0">
                        <c:v>1</c:v>
                      </c:pt>
                      <c:pt idx="1">
                        <c:v>2</c:v>
                      </c:pt>
                      <c:pt idx="2">
                        <c:v>3</c:v>
                      </c:pt>
                      <c:pt idx="3">
                        <c:v>4</c:v>
                      </c:pt>
                      <c:pt idx="4">
                        <c:v>5</c:v>
                      </c:pt>
                    </c:numCache>
                  </c:numRef>
                </c:cat>
                <c:val>
                  <c:numRef>
                    <c:extLst>
                      <c:ext uri="{02D57815-91ED-43cb-92C2-25804820EDAC}">
                        <c15:formulaRef>
                          <c15:sqref>Sheet6!$C$4:$C$6</c15:sqref>
                        </c15:formulaRef>
                      </c:ext>
                    </c:extLst>
                    <c:numCache>
                      <c:formatCode>General</c:formatCode>
                      <c:ptCount val="3"/>
                      <c:pt idx="0">
                        <c:v>3</c:v>
                      </c:pt>
                      <c:pt idx="1">
                        <c:v>4</c:v>
                      </c:pt>
                      <c:pt idx="2">
                        <c:v>5</c:v>
                      </c:pt>
                    </c:numCache>
                  </c:numRef>
                </c:val>
                <c:extLst>
                  <c:ext xmlns:c16="http://schemas.microsoft.com/office/drawing/2014/chart" uri="{C3380CC4-5D6E-409C-BE32-E72D297353CC}">
                    <c16:uniqueId val="{00000001-D7C1-4650-AA01-C63754ABA356}"/>
                  </c:ext>
                </c:extLst>
              </c15:ser>
            </c15:filteredBarSeries>
          </c:ext>
        </c:extLst>
      </c:barChart>
      <c:catAx>
        <c:axId val="55542289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50" b="0" i="0" baseline="0">
                    <a:effectLst/>
                  </a:rPr>
                  <a:t>5 = excellent, 1 = poor</a:t>
                </a:r>
                <a:endParaRPr lang="en-US" sz="1050">
                  <a:effectLst/>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5420600"/>
        <c:crosses val="autoZero"/>
        <c:auto val="1"/>
        <c:lblAlgn val="ctr"/>
        <c:lblOffset val="100"/>
        <c:noMultiLvlLbl val="0"/>
      </c:catAx>
      <c:valAx>
        <c:axId val="55542060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54228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50" b="0" i="0" baseline="0">
                <a:effectLst/>
              </a:rPr>
              <a:t>Figure 2: Rating of NECAFS in Building Regional Capacity, Competency, and Collaboration</a:t>
            </a:r>
            <a:endParaRPr lang="en-US" sz="9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1"/>
          <c:order val="1"/>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Sheet6!$C$11:$C$15</c:f>
              <c:numCache>
                <c:formatCode>General</c:formatCode>
                <c:ptCount val="5"/>
                <c:pt idx="0">
                  <c:v>1</c:v>
                </c:pt>
                <c:pt idx="1">
                  <c:v>2</c:v>
                </c:pt>
                <c:pt idx="2">
                  <c:v>3</c:v>
                </c:pt>
                <c:pt idx="3">
                  <c:v>4</c:v>
                </c:pt>
                <c:pt idx="4">
                  <c:v>5</c:v>
                </c:pt>
              </c:numCache>
            </c:numRef>
          </c:cat>
          <c:val>
            <c:numRef>
              <c:f>Sheet6!$D$11:$D$15</c:f>
              <c:numCache>
                <c:formatCode>0%</c:formatCode>
                <c:ptCount val="5"/>
                <c:pt idx="0">
                  <c:v>0</c:v>
                </c:pt>
                <c:pt idx="1">
                  <c:v>0</c:v>
                </c:pt>
                <c:pt idx="2">
                  <c:v>3.1746031746031744E-2</c:v>
                </c:pt>
                <c:pt idx="3">
                  <c:v>0.42857142857142855</c:v>
                </c:pt>
                <c:pt idx="4">
                  <c:v>0.53968253968253965</c:v>
                </c:pt>
              </c:numCache>
            </c:numRef>
          </c:val>
          <c:extLst>
            <c:ext xmlns:c16="http://schemas.microsoft.com/office/drawing/2014/chart" uri="{C3380CC4-5D6E-409C-BE32-E72D297353CC}">
              <c16:uniqueId val="{00000000-3B39-47AB-8CA9-6F32415727B1}"/>
            </c:ext>
          </c:extLst>
        </c:ser>
        <c:dLbls>
          <c:showLegendKey val="0"/>
          <c:showVal val="0"/>
          <c:showCatName val="0"/>
          <c:showSerName val="0"/>
          <c:showPercent val="0"/>
          <c:showBubbleSize val="0"/>
        </c:dLbls>
        <c:gapWidth val="182"/>
        <c:axId val="550961696"/>
        <c:axId val="550965632"/>
        <c:extLst>
          <c:ext xmlns:c15="http://schemas.microsoft.com/office/drawing/2012/chart" uri="{02D57815-91ED-43cb-92C2-25804820EDAC}">
            <c15:filteredBarSeries>
              <c15:ser>
                <c:idx val="0"/>
                <c:order val="0"/>
                <c:spPr>
                  <a:solidFill>
                    <a:schemeClr val="accent1"/>
                  </a:solidFill>
                  <a:ln>
                    <a:noFill/>
                  </a:ln>
                  <a:effectLst/>
                </c:spPr>
                <c:invertIfNegative val="0"/>
                <c:cat>
                  <c:numRef>
                    <c:extLst>
                      <c:ext uri="{02D57815-91ED-43cb-92C2-25804820EDAC}">
                        <c15:formulaRef>
                          <c15:sqref>Sheet6!$C$11:$C$15</c15:sqref>
                        </c15:formulaRef>
                      </c:ext>
                    </c:extLst>
                    <c:numCache>
                      <c:formatCode>General</c:formatCode>
                      <c:ptCount val="5"/>
                      <c:pt idx="0">
                        <c:v>1</c:v>
                      </c:pt>
                      <c:pt idx="1">
                        <c:v>2</c:v>
                      </c:pt>
                      <c:pt idx="2">
                        <c:v>3</c:v>
                      </c:pt>
                      <c:pt idx="3">
                        <c:v>4</c:v>
                      </c:pt>
                      <c:pt idx="4">
                        <c:v>5</c:v>
                      </c:pt>
                    </c:numCache>
                  </c:numRef>
                </c:cat>
                <c:val>
                  <c:numRef>
                    <c:extLst>
                      <c:ext uri="{02D57815-91ED-43cb-92C2-25804820EDAC}">
                        <c15:formulaRef>
                          <c15:sqref>Sheet6!$C$13:$C$15</c15:sqref>
                        </c15:formulaRef>
                      </c:ext>
                    </c:extLst>
                    <c:numCache>
                      <c:formatCode>General</c:formatCode>
                      <c:ptCount val="3"/>
                      <c:pt idx="0">
                        <c:v>3</c:v>
                      </c:pt>
                      <c:pt idx="1">
                        <c:v>4</c:v>
                      </c:pt>
                      <c:pt idx="2">
                        <c:v>5</c:v>
                      </c:pt>
                    </c:numCache>
                  </c:numRef>
                </c:val>
                <c:extLst>
                  <c:ext xmlns:c16="http://schemas.microsoft.com/office/drawing/2014/chart" uri="{C3380CC4-5D6E-409C-BE32-E72D297353CC}">
                    <c16:uniqueId val="{00000001-3B39-47AB-8CA9-6F32415727B1}"/>
                  </c:ext>
                </c:extLst>
              </c15:ser>
            </c15:filteredBarSeries>
          </c:ext>
        </c:extLst>
      </c:barChart>
      <c:catAx>
        <c:axId val="55096169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50" b="0" i="0" baseline="0">
                    <a:effectLst/>
                  </a:rPr>
                  <a:t>5 = excellent, 1 = poor</a:t>
                </a:r>
                <a:endParaRPr lang="en-US" sz="1050">
                  <a:effectLst/>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0965632"/>
        <c:crosses val="autoZero"/>
        <c:auto val="1"/>
        <c:lblAlgn val="ctr"/>
        <c:lblOffset val="100"/>
        <c:noMultiLvlLbl val="0"/>
      </c:catAx>
      <c:valAx>
        <c:axId val="55096563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09616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50" b="0" i="0" u="none" strike="noStrike" baseline="0">
                <a:effectLst/>
              </a:rPr>
              <a:t>Figure 3: Rating of NECAFS in Developing and Delivering Educational Programs</a:t>
            </a:r>
            <a:endParaRPr lang="en-US" sz="105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1"/>
          <c:order val="1"/>
          <c:spPr>
            <a:solidFill>
              <a:schemeClr val="accent6">
                <a:shade val="7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Sheet6!$C$18:$C$22</c:f>
              <c:numCache>
                <c:formatCode>General</c:formatCode>
                <c:ptCount val="5"/>
                <c:pt idx="0">
                  <c:v>1</c:v>
                </c:pt>
                <c:pt idx="1">
                  <c:v>2</c:v>
                </c:pt>
                <c:pt idx="2">
                  <c:v>3</c:v>
                </c:pt>
                <c:pt idx="3">
                  <c:v>4</c:v>
                </c:pt>
                <c:pt idx="4">
                  <c:v>5</c:v>
                </c:pt>
              </c:numCache>
            </c:numRef>
          </c:cat>
          <c:val>
            <c:numRef>
              <c:f>Sheet6!$D$18:$D$22</c:f>
              <c:numCache>
                <c:formatCode>0%</c:formatCode>
                <c:ptCount val="5"/>
                <c:pt idx="0">
                  <c:v>0</c:v>
                </c:pt>
                <c:pt idx="1">
                  <c:v>0</c:v>
                </c:pt>
                <c:pt idx="2">
                  <c:v>9.375E-2</c:v>
                </c:pt>
                <c:pt idx="3">
                  <c:v>0.359375</c:v>
                </c:pt>
                <c:pt idx="4">
                  <c:v>0.546875</c:v>
                </c:pt>
              </c:numCache>
            </c:numRef>
          </c:val>
          <c:extLst>
            <c:ext xmlns:c16="http://schemas.microsoft.com/office/drawing/2014/chart" uri="{C3380CC4-5D6E-409C-BE32-E72D297353CC}">
              <c16:uniqueId val="{00000000-726C-4848-BD4C-9142F32E0745}"/>
            </c:ext>
          </c:extLst>
        </c:ser>
        <c:dLbls>
          <c:dLblPos val="inEnd"/>
          <c:showLegendKey val="0"/>
          <c:showVal val="1"/>
          <c:showCatName val="0"/>
          <c:showSerName val="0"/>
          <c:showPercent val="0"/>
          <c:showBubbleSize val="0"/>
        </c:dLbls>
        <c:gapWidth val="182"/>
        <c:axId val="454452784"/>
        <c:axId val="454453112"/>
        <c:extLst>
          <c:ext xmlns:c15="http://schemas.microsoft.com/office/drawing/2012/chart" uri="{02D57815-91ED-43cb-92C2-25804820EDAC}">
            <c15:filteredBarSeries>
              <c15:ser>
                <c:idx val="0"/>
                <c:order val="0"/>
                <c:spPr>
                  <a:solidFill>
                    <a:schemeClr val="accent6">
                      <a:tint val="77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numRef>
                    <c:extLst>
                      <c:ext uri="{02D57815-91ED-43cb-92C2-25804820EDAC}">
                        <c15:formulaRef>
                          <c15:sqref>Sheet6!$C$18:$C$22</c15:sqref>
                        </c15:formulaRef>
                      </c:ext>
                    </c:extLst>
                    <c:numCache>
                      <c:formatCode>General</c:formatCode>
                      <c:ptCount val="5"/>
                      <c:pt idx="0">
                        <c:v>1</c:v>
                      </c:pt>
                      <c:pt idx="1">
                        <c:v>2</c:v>
                      </c:pt>
                      <c:pt idx="2">
                        <c:v>3</c:v>
                      </c:pt>
                      <c:pt idx="3">
                        <c:v>4</c:v>
                      </c:pt>
                      <c:pt idx="4">
                        <c:v>5</c:v>
                      </c:pt>
                    </c:numCache>
                  </c:numRef>
                </c:cat>
                <c:val>
                  <c:numRef>
                    <c:extLst>
                      <c:ext uri="{02D57815-91ED-43cb-92C2-25804820EDAC}">
                        <c15:formulaRef>
                          <c15:sqref>Sheet6!$C$20:$C$22</c15:sqref>
                        </c15:formulaRef>
                      </c:ext>
                    </c:extLst>
                    <c:numCache>
                      <c:formatCode>General</c:formatCode>
                      <c:ptCount val="3"/>
                      <c:pt idx="0">
                        <c:v>3</c:v>
                      </c:pt>
                      <c:pt idx="1">
                        <c:v>4</c:v>
                      </c:pt>
                      <c:pt idx="2">
                        <c:v>5</c:v>
                      </c:pt>
                    </c:numCache>
                  </c:numRef>
                </c:val>
                <c:extLst>
                  <c:ext xmlns:c16="http://schemas.microsoft.com/office/drawing/2014/chart" uri="{C3380CC4-5D6E-409C-BE32-E72D297353CC}">
                    <c16:uniqueId val="{00000001-726C-4848-BD4C-9142F32E0745}"/>
                  </c:ext>
                </c:extLst>
              </c15:ser>
            </c15:filteredBarSeries>
          </c:ext>
        </c:extLst>
      </c:barChart>
      <c:catAx>
        <c:axId val="45445278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50" b="0" i="0" baseline="0">
                    <a:effectLst/>
                  </a:rPr>
                  <a:t>5 = excellent, 1 = poor</a:t>
                </a:r>
                <a:endParaRPr lang="en-US" sz="1050">
                  <a:effectLst/>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4453112"/>
        <c:crosses val="autoZero"/>
        <c:auto val="1"/>
        <c:lblAlgn val="ctr"/>
        <c:lblOffset val="100"/>
        <c:noMultiLvlLbl val="0"/>
      </c:catAx>
      <c:valAx>
        <c:axId val="45445311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44527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Reversed" id="26">
  <a:schemeClr val="accent6"/>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B273124F-1D60-47D7-B997-CE5F2778E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11</Pages>
  <Words>4093</Words>
  <Characters>23332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27371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enewbold</dc:creator>
  <cp:keywords/>
  <dc:description/>
  <cp:lastModifiedBy>enewbold</cp:lastModifiedBy>
  <cp:revision>11</cp:revision>
  <dcterms:created xsi:type="dcterms:W3CDTF">2019-09-10T14:48:00Z</dcterms:created>
  <dcterms:modified xsi:type="dcterms:W3CDTF">2019-09-10T19:48:00Z</dcterms:modified>
</cp:coreProperties>
</file>