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24E7B615" w:rsidP="583FB12E" w:rsidRDefault="24E7B615" w14:paraId="5D83E921" w14:textId="7C5353AC">
      <w:pPr>
        <w:pStyle w:val="Heading1"/>
        <w:rPr>
          <w:sz w:val="72"/>
          <w:szCs w:val="72"/>
        </w:rPr>
      </w:pPr>
      <w:r w:rsidRPr="3ABD346C" w:rsidR="1A355D42">
        <w:rPr>
          <w:sz w:val="72"/>
          <w:szCs w:val="72"/>
        </w:rPr>
        <w:t>Valerie Rohy</w:t>
      </w:r>
    </w:p>
    <w:p w:rsidR="59457F5C" w:rsidP="7E73334B" w:rsidRDefault="59457F5C" w14:paraId="4E195F3D" w14:textId="1D4445C9">
      <w:pPr>
        <w:pStyle w:val="Heading2"/>
      </w:pPr>
      <w:r>
        <w:br/>
      </w:r>
      <w:r w:rsidRPr="3ABD346C" w:rsidR="4C98FA80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52BA75EC" w:rsidP="3ABD346C" w:rsidRDefault="52BA75EC" w14:paraId="05CEF75F" w14:textId="3E8B5ACB">
      <w:pPr>
        <w:shd w:val="clear" w:color="auto" w:fill="FFFFFF" w:themeFill="background1"/>
        <w:spacing w:before="0" w:beforeAutospacing="off" w:after="340" w:afterAutospacing="off"/>
      </w:pPr>
      <w:r w:rsidRPr="3ABD346C" w:rsidR="52BA75E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13"/>
        <w:gridCol w:w="4875"/>
      </w:tblGrid>
      <w:tr w:rsidR="3ABD346C" w:rsidTr="3ABD346C" w14:paraId="3E3CC288">
        <w:trPr>
          <w:trHeight w:val="300"/>
        </w:trPr>
        <w:tc>
          <w:tcPr>
            <w:tcW w:w="461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0B18A488" w14:textId="12814CB5">
            <w:pPr>
              <w:spacing w:before="0" w:beforeAutospacing="off" w:after="0" w:afterAutospacing="off"/>
            </w:pPr>
            <w:r w:rsidR="3ABD346C">
              <w:drawing>
                <wp:inline wp14:editId="42BF3185" wp14:anchorId="7678A13A">
                  <wp:extent cx="1238250" cy="1857375"/>
                  <wp:effectExtent l="0" t="0" r="0" b="0"/>
                  <wp:docPr id="800127659" name="" descr="cover of Chances Are: Contingency, Queer Theory and American Literature by Val Rohy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e25123ef424474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6E06A416" w14:textId="62AE5CFA">
            <w:pPr>
              <w:spacing w:before="0" w:beforeAutospacing="off" w:after="0" w:afterAutospacing="off"/>
            </w:pPr>
            <w:hyperlink r:id="R316a0e3e32304dbb">
              <w:r w:rsidRPr="3ABD346C" w:rsidR="3ABD346C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Chances Are: Contingency, Queer Theory and American Literature</w:t>
              </w:r>
            </w:hyperlink>
            <w:r w:rsidRPr="3ABD346C" w:rsidR="3ABD346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, </w:t>
            </w: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Routledge, October 2019</w:t>
            </w:r>
          </w:p>
        </w:tc>
      </w:tr>
      <w:tr w:rsidR="3ABD346C" w:rsidTr="3ABD346C" w14:paraId="62EDC3C4">
        <w:trPr>
          <w:trHeight w:val="300"/>
        </w:trPr>
        <w:tc>
          <w:tcPr>
            <w:tcW w:w="461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5E508B37" w14:textId="17E65390">
            <w:pPr>
              <w:spacing w:before="0" w:beforeAutospacing="off" w:after="0" w:afterAutospacing="off"/>
            </w:pPr>
            <w:r w:rsidR="3ABD346C">
              <w:drawing>
                <wp:inline wp14:editId="6FEB78E3" wp14:anchorId="5249CC91">
                  <wp:extent cx="1238250" cy="1862030"/>
                  <wp:effectExtent l="0" t="0" r="0" b="0"/>
                  <wp:docPr id="26872622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1c0182dab9345f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86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5DCB0931" w14:textId="4AEFC8CD">
            <w:pPr>
              <w:spacing w:before="0" w:beforeAutospacing="off" w:after="0" w:afterAutospacing="off"/>
            </w:pPr>
            <w:hyperlink r:id="R617371184c174ecd">
              <w:r w:rsidRPr="3ABD346C" w:rsidR="3ABD346C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Lost Causes: Narrative, Etiology, and Queer Theory</w:t>
              </w:r>
            </w:hyperlink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(New York: Oxford University Press, 2015).</w:t>
            </w:r>
          </w:p>
        </w:tc>
      </w:tr>
      <w:tr w:rsidR="3ABD346C" w:rsidTr="3ABD346C" w14:paraId="748BC350">
        <w:trPr>
          <w:trHeight w:val="300"/>
        </w:trPr>
        <w:tc>
          <w:tcPr>
            <w:tcW w:w="461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42C13585" w14:textId="234C2AF2">
            <w:pPr>
              <w:spacing w:before="0" w:beforeAutospacing="off" w:after="0" w:afterAutospacing="off"/>
            </w:pPr>
            <w:r w:rsidR="3ABD346C">
              <w:drawing>
                <wp:inline wp14:editId="341866ED" wp14:anchorId="1ECB0271">
                  <wp:extent cx="1238250" cy="1862030"/>
                  <wp:effectExtent l="0" t="0" r="0" b="0"/>
                  <wp:docPr id="75386393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89ffc3092394db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86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26E31A37" w14:textId="2DBF5EC1">
            <w:pPr>
              <w:spacing w:before="0" w:beforeAutospacing="off" w:after="0" w:afterAutospacing="off"/>
            </w:pPr>
            <w:hyperlink r:id="R2b54b7c9afab40e5">
              <w:r w:rsidRPr="3ABD346C" w:rsidR="3ABD346C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</w:rPr>
                <w:t>Anachronism and Its Others: Sexuality, Race, Temporality</w:t>
              </w:r>
              <w:r w:rsidRPr="3ABD346C" w:rsidR="3ABD346C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 xml:space="preserve"> </w:t>
              </w:r>
            </w:hyperlink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(Albany, NY: SUNY Press, 2009).</w:t>
            </w:r>
          </w:p>
        </w:tc>
      </w:tr>
      <w:tr w:rsidR="3ABD346C" w:rsidTr="3ABD346C" w14:paraId="65A84AE7">
        <w:trPr>
          <w:trHeight w:val="300"/>
        </w:trPr>
        <w:tc>
          <w:tcPr>
            <w:tcW w:w="461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7CD2D735" w14:textId="3F70AC8A">
            <w:pPr>
              <w:spacing w:before="0" w:beforeAutospacing="off" w:after="0" w:afterAutospacing="off"/>
            </w:pPr>
            <w:r w:rsidR="3ABD346C">
              <w:drawing>
                <wp:inline wp14:editId="20BC051D" wp14:anchorId="0D20F22F">
                  <wp:extent cx="1178147" cy="1771650"/>
                  <wp:effectExtent l="0" t="0" r="0" b="0"/>
                  <wp:docPr id="7250808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e732efbe6d0407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147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2771FC2A" w14:textId="637B41BE">
            <w:pPr>
              <w:spacing w:before="0" w:beforeAutospacing="off" w:after="0" w:afterAutospacing="off"/>
            </w:pPr>
            <w:hyperlink r:id="Rb6fc5b76e5ae42ea">
              <w:r w:rsidRPr="3ABD346C" w:rsidR="3ABD346C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 xml:space="preserve">Impossible Women: Lesbian Figures and American Literature </w:t>
              </w:r>
            </w:hyperlink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(Ithaca, NY: Cornell University Press, 2000).</w:t>
            </w:r>
          </w:p>
        </w:tc>
      </w:tr>
      <w:tr w:rsidR="3ABD346C" w:rsidTr="3ABD346C" w14:paraId="4FD04ABE">
        <w:trPr>
          <w:trHeight w:val="300"/>
        </w:trPr>
        <w:tc>
          <w:tcPr>
            <w:tcW w:w="461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16107761" w14:textId="7AB78482">
            <w:pPr>
              <w:spacing w:before="0" w:beforeAutospacing="off" w:after="0" w:afterAutospacing="off"/>
            </w:pPr>
            <w:r w:rsidR="3ABD346C">
              <w:drawing>
                <wp:inline wp14:editId="3A32300C" wp14:anchorId="274FBB71">
                  <wp:extent cx="1219200" cy="1833384"/>
                  <wp:effectExtent l="0" t="0" r="0" b="0"/>
                  <wp:docPr id="16901769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07a7b3e27154e7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83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728D7B96" w14:textId="47C5CE6E">
            <w:pPr>
              <w:spacing w:before="0" w:beforeAutospacing="off" w:after="0" w:afterAutospacing="off"/>
            </w:pPr>
            <w:hyperlink r:id="Rae4344ab06bd443f">
              <w:r w:rsidRPr="3ABD346C" w:rsidR="3ABD346C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American Local Color Writing, 1880-1920</w:t>
              </w:r>
            </w:hyperlink>
            <w:r w:rsidRPr="3ABD346C" w:rsidR="3ABD346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, </w:t>
            </w: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ed. with Elizabeth Ammons (New York: Penguin, 1998).</w:t>
            </w:r>
          </w:p>
        </w:tc>
      </w:tr>
    </w:tbl>
    <w:p w:rsidR="3ABD346C" w:rsidP="3ABD346C" w:rsidRDefault="3ABD346C" w14:paraId="3BD53667" w14:textId="1CC09AC2">
      <w:pPr>
        <w:shd w:val="clear" w:color="auto" w:fill="FFFFFF" w:themeFill="background1"/>
        <w:spacing w:before="0" w:beforeAutospacing="off" w:after="340" w:afterAutospacing="off"/>
      </w:pPr>
    </w:p>
    <w:p w:rsidR="52BA75EC" w:rsidP="3ABD346C" w:rsidRDefault="52BA75EC" w14:paraId="1AAF745E" w14:textId="24498FF5">
      <w:pPr>
        <w:shd w:val="clear" w:color="auto" w:fill="FFFFFF" w:themeFill="background1"/>
        <w:spacing w:before="0" w:beforeAutospacing="off" w:after="340" w:afterAutospacing="off"/>
      </w:pPr>
      <w:r w:rsidRPr="3ABD346C" w:rsidR="52BA75E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Articles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15"/>
        <w:gridCol w:w="6465"/>
      </w:tblGrid>
      <w:tr w:rsidR="3ABD346C" w:rsidTr="3ABD346C" w14:paraId="6762E275">
        <w:trPr>
          <w:trHeight w:val="300"/>
        </w:trPr>
        <w:tc>
          <w:tcPr>
            <w:tcW w:w="301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28422566" w14:textId="06F058D6">
            <w:pPr>
              <w:spacing w:before="0" w:beforeAutospacing="off" w:after="0" w:afterAutospacing="off"/>
            </w:pP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"Freeman's Object Lessons," </w:t>
            </w:r>
          </w:p>
        </w:tc>
        <w:tc>
          <w:tcPr>
            <w:tcW w:w="64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24E1DBA3" w14:textId="58A86355">
            <w:pPr>
              <w:spacing w:before="0" w:beforeAutospacing="off" w:after="0" w:afterAutospacing="off"/>
            </w:pP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Legacy 37:1 (2020): 42-59.</w:t>
            </w:r>
          </w:p>
        </w:tc>
      </w:tr>
      <w:tr w:rsidR="3ABD346C" w:rsidTr="3ABD346C" w14:paraId="02D71C84">
        <w:trPr>
          <w:trHeight w:val="300"/>
        </w:trPr>
        <w:tc>
          <w:tcPr>
            <w:tcW w:w="301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569B7E6F" w14:textId="1BCB37FA">
            <w:pPr>
              <w:spacing w:before="0" w:beforeAutospacing="off" w:after="0" w:afterAutospacing="off"/>
            </w:pP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"Absent-Minded Historicism"</w:t>
            </w:r>
          </w:p>
        </w:tc>
        <w:tc>
          <w:tcPr>
            <w:tcW w:w="64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5D78B8B4" w14:textId="66D544AF">
            <w:pPr>
              <w:spacing w:before="0" w:beforeAutospacing="off" w:after="0" w:afterAutospacing="off"/>
            </w:pP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co-authored with Elizabeth Fenton, </w:t>
            </w:r>
            <w:r w:rsidRPr="3ABD346C" w:rsidR="3ABD346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J19: The Journal of Nineteenth-Century Americanists </w:t>
            </w: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7:1 (2019).</w:t>
            </w:r>
          </w:p>
        </w:tc>
      </w:tr>
      <w:tr w:rsidR="3ABD346C" w:rsidTr="3ABD346C" w14:paraId="113F0CE9">
        <w:trPr>
          <w:trHeight w:val="300"/>
        </w:trPr>
        <w:tc>
          <w:tcPr>
            <w:tcW w:w="301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10FFA142" w14:textId="2BD2A243">
            <w:pPr>
              <w:spacing w:before="0" w:beforeAutospacing="off" w:after="0" w:afterAutospacing="off"/>
            </w:pP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“Queer (Narrative) Theory”</w:t>
            </w:r>
          </w:p>
        </w:tc>
        <w:tc>
          <w:tcPr>
            <w:tcW w:w="64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075C16EB" w14:textId="7EB2C51C">
            <w:pPr>
              <w:spacing w:before="0" w:beforeAutospacing="off" w:after="0" w:afterAutospacing="off"/>
            </w:pPr>
            <w:r w:rsidRPr="3ABD346C" w:rsidR="3ABD346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Cambridge Companion to Narrative Theory,</w:t>
            </w: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ed. Matthew Garrett (New York, Cambridge University Press, 2018): 169-82.</w:t>
            </w:r>
          </w:p>
        </w:tc>
      </w:tr>
      <w:tr w:rsidR="3ABD346C" w:rsidTr="3ABD346C" w14:paraId="60FFAEE6">
        <w:trPr>
          <w:trHeight w:val="300"/>
        </w:trPr>
        <w:tc>
          <w:tcPr>
            <w:tcW w:w="301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7DC6E51D" w14:textId="2595713F">
            <w:pPr>
              <w:spacing w:before="0" w:beforeAutospacing="off" w:after="0" w:afterAutospacing="off"/>
            </w:pP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"See It Now: Queer History and Archival Fantasy" </w:t>
            </w:r>
          </w:p>
        </w:tc>
        <w:tc>
          <w:tcPr>
            <w:tcW w:w="64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117DC942" w14:textId="6692E820">
            <w:pPr>
              <w:spacing w:before="0" w:beforeAutospacing="off" w:after="0" w:afterAutospacing="off"/>
            </w:pPr>
            <w:r w:rsidRPr="3ABD346C" w:rsidR="3ABD346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Textual Practice </w:t>
            </w: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32:4 (2018)</w:t>
            </w:r>
          </w:p>
        </w:tc>
      </w:tr>
      <w:tr w:rsidR="3ABD346C" w:rsidTr="3ABD346C" w14:paraId="5184A540">
        <w:trPr>
          <w:trHeight w:val="300"/>
        </w:trPr>
        <w:tc>
          <w:tcPr>
            <w:tcW w:w="301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14DC8655" w14:textId="4639077E">
            <w:pPr>
              <w:spacing w:before="0" w:beforeAutospacing="off" w:after="0" w:afterAutospacing="off"/>
            </w:pP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"The Calculus of Probabilities: Contingency and The Mystery of Marie Rogêt"</w:t>
            </w:r>
          </w:p>
        </w:tc>
        <w:tc>
          <w:tcPr>
            <w:tcW w:w="64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69C48961" w14:textId="5F68FFEC">
            <w:pPr>
              <w:spacing w:before="0" w:beforeAutospacing="off" w:after="0" w:afterAutospacing="off"/>
            </w:pPr>
            <w:r w:rsidRPr="3ABD346C" w:rsidR="3ABD346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Oxford Handbook of Edgar Allan Poe</w:t>
            </w: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J. Gerald Kennedy and Scott Peeples (Oxford UP, 2018)</w:t>
            </w:r>
          </w:p>
        </w:tc>
      </w:tr>
      <w:tr w:rsidR="3ABD346C" w:rsidTr="3ABD346C" w14:paraId="6E830CC0">
        <w:trPr>
          <w:trHeight w:val="300"/>
        </w:trPr>
        <w:tc>
          <w:tcPr>
            <w:tcW w:w="301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63AB4A70" w14:textId="24E4B68F">
            <w:pPr>
              <w:spacing w:before="0" w:beforeAutospacing="off" w:after="0" w:afterAutospacing="off"/>
            </w:pP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“The Cinema of the Impossible: Queer Theory and Narrative”</w:t>
            </w:r>
          </w:p>
        </w:tc>
        <w:tc>
          <w:tcPr>
            <w:tcW w:w="64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ABD346C" w:rsidP="3ABD346C" w:rsidRDefault="3ABD346C" w14:paraId="7698EB77" w14:textId="33CB6A3B">
            <w:pPr>
              <w:spacing w:before="0" w:beforeAutospacing="off" w:after="0" w:afterAutospacing="off"/>
            </w:pPr>
            <w:r w:rsidRPr="3ABD346C" w:rsidR="3ABD346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Edinburgh Companion to Narrative Theory</w:t>
            </w:r>
            <w:r w:rsidRPr="3ABD346C" w:rsidR="3ABD346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Mark Currie, Zara Dinnen, and Robyn Warhol (Edinburgh University Press, 2018).</w:t>
            </w:r>
          </w:p>
        </w:tc>
      </w:tr>
    </w:tbl>
    <w:p w:rsidR="3ABD346C" w:rsidP="3ABD346C" w:rsidRDefault="3ABD346C" w14:paraId="4A26FFE2" w14:textId="29D00093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p w:rsidR="3B2AC870" w:rsidP="3B2AC870" w:rsidRDefault="3B2AC870" w14:paraId="3B412302" w14:textId="4C2D5C5C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51C264F"/>
    <w:rsid w:val="05FA9914"/>
    <w:rsid w:val="067BAB69"/>
    <w:rsid w:val="07F0DA60"/>
    <w:rsid w:val="09C6D2FC"/>
    <w:rsid w:val="0A4C3396"/>
    <w:rsid w:val="0AC0FDF6"/>
    <w:rsid w:val="0B4BA805"/>
    <w:rsid w:val="0C19219B"/>
    <w:rsid w:val="10B23B2E"/>
    <w:rsid w:val="1440DF0D"/>
    <w:rsid w:val="17E22AB8"/>
    <w:rsid w:val="1808CF46"/>
    <w:rsid w:val="18E25AE6"/>
    <w:rsid w:val="1A355D42"/>
    <w:rsid w:val="1A70CEBF"/>
    <w:rsid w:val="1BAB4BD4"/>
    <w:rsid w:val="1E65C6FD"/>
    <w:rsid w:val="215425F1"/>
    <w:rsid w:val="22ADB3DD"/>
    <w:rsid w:val="24E7B615"/>
    <w:rsid w:val="29A09369"/>
    <w:rsid w:val="2AC4B5A3"/>
    <w:rsid w:val="2B5BCDC2"/>
    <w:rsid w:val="2BED6669"/>
    <w:rsid w:val="2DF8CE65"/>
    <w:rsid w:val="310056E6"/>
    <w:rsid w:val="3790E860"/>
    <w:rsid w:val="399A686F"/>
    <w:rsid w:val="3A2D0CF2"/>
    <w:rsid w:val="3ABD346C"/>
    <w:rsid w:val="3B2AC870"/>
    <w:rsid w:val="3D0511DE"/>
    <w:rsid w:val="3D63129D"/>
    <w:rsid w:val="3F6DCDD3"/>
    <w:rsid w:val="4224B587"/>
    <w:rsid w:val="4291B4B0"/>
    <w:rsid w:val="4752A15E"/>
    <w:rsid w:val="49615EA6"/>
    <w:rsid w:val="4AEA2A65"/>
    <w:rsid w:val="4C98FA80"/>
    <w:rsid w:val="4E0EF89B"/>
    <w:rsid w:val="52BA75EC"/>
    <w:rsid w:val="53E9AB77"/>
    <w:rsid w:val="545D253C"/>
    <w:rsid w:val="583FB12E"/>
    <w:rsid w:val="59457F5C"/>
    <w:rsid w:val="5CF15280"/>
    <w:rsid w:val="5FB04256"/>
    <w:rsid w:val="5FB04256"/>
    <w:rsid w:val="60A3F1E3"/>
    <w:rsid w:val="61E7C2E8"/>
    <w:rsid w:val="6402D7C7"/>
    <w:rsid w:val="64B8CBD1"/>
    <w:rsid w:val="66FD46B7"/>
    <w:rsid w:val="6C02DF28"/>
    <w:rsid w:val="6C220202"/>
    <w:rsid w:val="6C220202"/>
    <w:rsid w:val="6CF62CF3"/>
    <w:rsid w:val="6DD1E73C"/>
    <w:rsid w:val="727CC00B"/>
    <w:rsid w:val="773FA01E"/>
    <w:rsid w:val="7AAB2A74"/>
    <w:rsid w:val="7C7B0F05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.jpg" Id="Ree25123ef4244748" /><Relationship Type="http://schemas.openxmlformats.org/officeDocument/2006/relationships/hyperlink" Target="https://www.routledge.com/Chances-Are-Contingency-Queer-Theory-and-American-Literature-1st-Edition/Rohy/p/book/9781138290600" TargetMode="External" Id="R316a0e3e32304dbb" /><Relationship Type="http://schemas.openxmlformats.org/officeDocument/2006/relationships/image" Target="/media/image2.jpg" Id="R71c0182dab9345f9" /><Relationship Type="http://schemas.openxmlformats.org/officeDocument/2006/relationships/hyperlink" Target="https://global.oup.com/academic/product/lost-causes-9780199340194?cc=us&amp;lang=en&amp;" TargetMode="External" Id="R617371184c174ecd" /><Relationship Type="http://schemas.openxmlformats.org/officeDocument/2006/relationships/image" Target="/media/image3.jpg" Id="R689ffc3092394dbf" /><Relationship Type="http://schemas.openxmlformats.org/officeDocument/2006/relationships/hyperlink" Target="https://www.sunypress.edu/p-4914-anachronism-and-its-others.aspx" TargetMode="External" Id="R2b54b7c9afab40e5" /><Relationship Type="http://schemas.openxmlformats.org/officeDocument/2006/relationships/image" Target="/media/image4.jpg" Id="Rfe732efbe6d04072" /><Relationship Type="http://schemas.openxmlformats.org/officeDocument/2006/relationships/hyperlink" Target="http://www.cornellpress.cornell.edu/book/?GCOI=80140100479800" TargetMode="External" Id="Rb6fc5b76e5ae42ea" /><Relationship Type="http://schemas.openxmlformats.org/officeDocument/2006/relationships/image" Target="/media/image5.jpg" Id="R707a7b3e27154e77" /><Relationship Type="http://schemas.openxmlformats.org/officeDocument/2006/relationships/hyperlink" Target="https://www.penguinrandomhouse.com/books/330506/american-local-color-writing-1880-1920-by-various/9780140436884/" TargetMode="External" Id="Rae4344ab06bd443f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16</revision>
  <dcterms:created xsi:type="dcterms:W3CDTF">2024-04-26T17:50:57.2467588Z</dcterms:created>
  <dcterms:modified xsi:type="dcterms:W3CDTF">2024-04-30T19:36:46.8048680Z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