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4E7B615" w:rsidP="583FB12E" w:rsidRDefault="24E7B615" w14:paraId="5D83E921" w14:textId="779AD262">
      <w:pPr>
        <w:pStyle w:val="Heading1"/>
        <w:rPr>
          <w:sz w:val="72"/>
          <w:szCs w:val="72"/>
        </w:rPr>
      </w:pPr>
      <w:r w:rsidRPr="47B00080" w:rsidR="0A54976C">
        <w:rPr>
          <w:sz w:val="72"/>
          <w:szCs w:val="72"/>
        </w:rPr>
        <w:t>Jennifer Sisk</w:t>
      </w:r>
    </w:p>
    <w:p w:rsidR="3ABD346C" w:rsidP="3F9A5BD3" w:rsidRDefault="3ABD346C" w14:paraId="2B1814AD" w14:textId="388E7242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47B00080" w:rsidR="4C98FA80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47B00080" w:rsidR="3F29B7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294"/>
        <w:gridCol w:w="6195"/>
      </w:tblGrid>
      <w:tr w:rsidR="47B00080" w:rsidTr="47B00080" w14:paraId="0FC53CDF">
        <w:trPr>
          <w:trHeight w:val="300"/>
        </w:trPr>
        <w:tc>
          <w:tcPr>
            <w:tcW w:w="329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1221B3F3" w14:textId="470C6F57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“Unauthorized Desire: Audience and Affect in 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St. Erkenwald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and Lydgate’s 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St. Austin at Compton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.”</w:t>
            </w:r>
          </w:p>
        </w:tc>
        <w:tc>
          <w:tcPr>
            <w:tcW w:w="619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207717C9" w14:textId="7022FEEF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Religion and Literature 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46.1 (2014).  [Published in 2015.]</w:t>
            </w:r>
          </w:p>
        </w:tc>
      </w:tr>
      <w:tr w:rsidR="47B00080" w:rsidTr="47B00080" w14:paraId="0235C68D">
        <w:trPr>
          <w:trHeight w:val="300"/>
        </w:trPr>
        <w:tc>
          <w:tcPr>
            <w:tcW w:w="329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5127F46A" w14:textId="50AA5BF1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“Chaucer and Hagiographic Authority.”</w:t>
            </w:r>
          </w:p>
        </w:tc>
        <w:tc>
          <w:tcPr>
            <w:tcW w:w="619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199C462C" w14:textId="4CCC5694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Sanctity as Literature in Late Medieval Britain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, ed. Anke Bernau and Eva von Contzen, 116-133.  Manchester University Press (2015). </w:t>
            </w:r>
          </w:p>
        </w:tc>
      </w:tr>
      <w:tr w:rsidR="47B00080" w:rsidTr="47B00080" w14:paraId="4ACE8E8E">
        <w:trPr>
          <w:trHeight w:val="300"/>
        </w:trPr>
        <w:tc>
          <w:tcPr>
            <w:tcW w:w="329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60931D43" w14:textId="57D21834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“‘We must be tretable’: Law and Affect in Lydgate’s St. Austin at Compton.”  </w:t>
            </w:r>
          </w:p>
        </w:tc>
        <w:tc>
          <w:tcPr>
            <w:tcW w:w="619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5A07CF7D" w14:textId="3A431666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Modern Philology 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112 (2014): 76-96.</w:t>
            </w:r>
          </w:p>
        </w:tc>
      </w:tr>
      <w:tr w:rsidR="47B00080" w:rsidTr="47B00080" w14:paraId="617A5253">
        <w:trPr>
          <w:trHeight w:val="300"/>
        </w:trPr>
        <w:tc>
          <w:tcPr>
            <w:tcW w:w="329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4F4FA03E" w14:textId="4C4925F8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“Paul’s Rapture and Will’s Vision: The Problem of Imagination in Langland’s Life of Christ.”</w:t>
            </w:r>
          </w:p>
        </w:tc>
        <w:tc>
          <w:tcPr>
            <w:tcW w:w="619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3F8C1B6D" w14:textId="04B014A7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Chaucer Review 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48 (2014): 395-412. </w:t>
            </w:r>
          </w:p>
        </w:tc>
      </w:tr>
      <w:tr w:rsidR="47B00080" w:rsidTr="47B00080" w14:paraId="64D2089F">
        <w:trPr>
          <w:trHeight w:val="300"/>
        </w:trPr>
        <w:tc>
          <w:tcPr>
            <w:tcW w:w="329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446949EF" w14:textId="73E90368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“Religion, Alchemy, and Nostalgic Idealism in Fragment VIII of the Canterbury Tales.” </w:t>
            </w:r>
          </w:p>
        </w:tc>
        <w:tc>
          <w:tcPr>
            <w:tcW w:w="619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524CA154" w14:textId="080E1685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Studies in the Age of Chaucer 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32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 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(2010): 151-77. </w:t>
            </w:r>
          </w:p>
        </w:tc>
      </w:tr>
      <w:tr w:rsidR="47B00080" w:rsidTr="47B00080" w14:paraId="490AE699">
        <w:trPr>
          <w:trHeight w:val="300"/>
        </w:trPr>
        <w:tc>
          <w:tcPr>
            <w:tcW w:w="329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0B1866FA" w14:textId="68B6ED9E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“Lydgate’s Problematic Commission: A Legend of St. Edmund for Henry VI.” </w:t>
            </w:r>
          </w:p>
        </w:tc>
        <w:tc>
          <w:tcPr>
            <w:tcW w:w="619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72AF65FE" w14:textId="5D99DB2B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Journal of English and Germanic Philology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109 (2010): 349-75.</w:t>
            </w:r>
          </w:p>
        </w:tc>
      </w:tr>
      <w:tr w:rsidR="47B00080" w:rsidTr="47B00080" w14:paraId="025D4560">
        <w:trPr>
          <w:trHeight w:val="300"/>
        </w:trPr>
        <w:tc>
          <w:tcPr>
            <w:tcW w:w="329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16658D4D" w14:textId="22ADD881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“The Uneasy Orthodoxy of St. Erkenwald.”</w:t>
            </w:r>
          </w:p>
        </w:tc>
        <w:tc>
          <w:tcPr>
            <w:tcW w:w="619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B00080" w:rsidP="47B00080" w:rsidRDefault="47B00080" w14:paraId="02F7A04D" w14:textId="51749239">
            <w:pPr>
              <w:spacing w:before="0" w:beforeAutospacing="off" w:after="0" w:afterAutospacing="off"/>
            </w:pPr>
            <w:r w:rsidRPr="47B00080" w:rsidR="47B00080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English Literary History</w:t>
            </w:r>
            <w:r w:rsidRPr="47B00080" w:rsidR="47B0008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74 (2007): 89-115.</w:t>
            </w:r>
          </w:p>
        </w:tc>
      </w:tr>
    </w:tbl>
    <w:p w:rsidR="3ABD346C" w:rsidP="3F9A5BD3" w:rsidRDefault="3ABD346C" w14:paraId="3242FB09" w14:textId="0FD25FFB">
      <w:pPr>
        <w:pStyle w:val="Normal"/>
        <w:shd w:val="clear" w:color="auto" w:fill="FFFFFF" w:themeFill="background1"/>
        <w:spacing w:before="0" w:beforeAutospacing="off" w:after="340" w:afterAutospacing="off"/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51C264F"/>
    <w:rsid w:val="05FA9914"/>
    <w:rsid w:val="067BAB69"/>
    <w:rsid w:val="07F0DA60"/>
    <w:rsid w:val="09C6D2FC"/>
    <w:rsid w:val="0A4C3396"/>
    <w:rsid w:val="0A54976C"/>
    <w:rsid w:val="0AC0FDF6"/>
    <w:rsid w:val="0B4BA805"/>
    <w:rsid w:val="0C19219B"/>
    <w:rsid w:val="10B23B2E"/>
    <w:rsid w:val="1440DF0D"/>
    <w:rsid w:val="17E22AB8"/>
    <w:rsid w:val="1808CF46"/>
    <w:rsid w:val="18E25AE6"/>
    <w:rsid w:val="1A355D42"/>
    <w:rsid w:val="1A70CEBF"/>
    <w:rsid w:val="1BAB4BD4"/>
    <w:rsid w:val="1E65C6FD"/>
    <w:rsid w:val="215425F1"/>
    <w:rsid w:val="22ADB3DD"/>
    <w:rsid w:val="22C63271"/>
    <w:rsid w:val="24E7B615"/>
    <w:rsid w:val="29A09369"/>
    <w:rsid w:val="2AC4B5A3"/>
    <w:rsid w:val="2B5BCDC2"/>
    <w:rsid w:val="2BED6669"/>
    <w:rsid w:val="2DF8CE65"/>
    <w:rsid w:val="310056E6"/>
    <w:rsid w:val="3790E860"/>
    <w:rsid w:val="399A686F"/>
    <w:rsid w:val="3A2D0CF2"/>
    <w:rsid w:val="3ABD346C"/>
    <w:rsid w:val="3B2AC870"/>
    <w:rsid w:val="3D0511DE"/>
    <w:rsid w:val="3D63129D"/>
    <w:rsid w:val="3F29B78F"/>
    <w:rsid w:val="3F6DCDD3"/>
    <w:rsid w:val="3F9A5BD3"/>
    <w:rsid w:val="4224B587"/>
    <w:rsid w:val="4291B4B0"/>
    <w:rsid w:val="46DD5B6B"/>
    <w:rsid w:val="4752A15E"/>
    <w:rsid w:val="47B00080"/>
    <w:rsid w:val="480A36C9"/>
    <w:rsid w:val="49615EA6"/>
    <w:rsid w:val="4AEA2A65"/>
    <w:rsid w:val="4C98FA80"/>
    <w:rsid w:val="4E0EF89B"/>
    <w:rsid w:val="4FFCE46D"/>
    <w:rsid w:val="52BA75EC"/>
    <w:rsid w:val="53E9AB77"/>
    <w:rsid w:val="545D253C"/>
    <w:rsid w:val="583FB12E"/>
    <w:rsid w:val="59457F5C"/>
    <w:rsid w:val="5CF15280"/>
    <w:rsid w:val="5FB04256"/>
    <w:rsid w:val="5FB04256"/>
    <w:rsid w:val="60A3F1E3"/>
    <w:rsid w:val="61E7C2E8"/>
    <w:rsid w:val="6402D7C7"/>
    <w:rsid w:val="64B8CBD1"/>
    <w:rsid w:val="66FD46B7"/>
    <w:rsid w:val="6C02DF28"/>
    <w:rsid w:val="6C220202"/>
    <w:rsid w:val="6C220202"/>
    <w:rsid w:val="6CF62CF3"/>
    <w:rsid w:val="6DD1E73C"/>
    <w:rsid w:val="727CC00B"/>
    <w:rsid w:val="773FA01E"/>
    <w:rsid w:val="78939ADF"/>
    <w:rsid w:val="7AAB2A74"/>
    <w:rsid w:val="7C7B0F05"/>
    <w:rsid w:val="7D1B4C9B"/>
    <w:rsid w:val="7E73334B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19</revision>
  <dcterms:created xsi:type="dcterms:W3CDTF">2024-04-26T17:50:57.2467588Z</dcterms:created>
  <dcterms:modified xsi:type="dcterms:W3CDTF">2024-04-30T20:29:25.3335412Z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