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7E73334B" w:rsidP="067BAB69" w:rsidRDefault="7E73334B" w14:paraId="1A1E65B3" w14:textId="3E69E8CB">
      <w:pPr>
        <w:pStyle w:val="Heading1"/>
        <w:rPr>
          <w:noProof w:val="0"/>
          <w:sz w:val="72"/>
          <w:szCs w:val="72"/>
          <w:lang w:val="en-US"/>
        </w:rPr>
      </w:pPr>
      <w:r w:rsidRPr="4B0CD5F4" w:rsidR="75A4CD01">
        <w:rPr>
          <w:sz w:val="72"/>
          <w:szCs w:val="72"/>
        </w:rPr>
        <w:t>Daniel Fogel</w:t>
      </w:r>
    </w:p>
    <w:p w:rsidR="59457F5C" w:rsidP="7E73334B" w:rsidRDefault="59457F5C" w14:paraId="4E195F3D" w14:textId="77F2BED4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>
        <w:br/>
      </w:r>
      <w:r w:rsidRPr="4B0CD5F4" w:rsidR="59457F5C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035"/>
        <w:gridCol w:w="5445"/>
      </w:tblGrid>
      <w:tr w:rsidR="4B0CD5F4" w:rsidTr="4B0CD5F4" w14:paraId="5444850B">
        <w:trPr>
          <w:trHeight w:val="300"/>
        </w:trPr>
        <w:tc>
          <w:tcPr>
            <w:tcW w:w="40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B0CD5F4" w:rsidP="4B0CD5F4" w:rsidRDefault="4B0CD5F4" w14:paraId="4C6D88E0" w14:textId="05C07435">
            <w:pPr>
              <w:spacing w:before="0" w:beforeAutospacing="off" w:after="0" w:afterAutospacing="off"/>
            </w:pPr>
            <w:r w:rsidR="4B0CD5F4">
              <w:drawing>
                <wp:inline wp14:editId="4F66DAE6" wp14:anchorId="6FDA5D16">
                  <wp:extent cx="2143125" cy="3219450"/>
                  <wp:effectExtent l="0" t="0" r="0" b="0"/>
                  <wp:docPr id="195937568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857d0f25cc2408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B0CD5F4" w:rsidP="4B0CD5F4" w:rsidRDefault="4B0CD5F4" w14:paraId="47DA625B" w14:textId="7178619E">
            <w:pPr>
              <w:spacing w:before="0" w:beforeAutospacing="off" w:after="0" w:afterAutospacing="off"/>
            </w:pPr>
            <w:r w:rsidRPr="4B0CD5F4" w:rsidR="4B0CD5F4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Precipice or Crossroads? Where America’s Great Public Universities Stand and Where They Are Going Midway through Their Second Century</w:t>
            </w:r>
            <w:r w:rsidRPr="4B0CD5F4" w:rsidR="4B0CD5F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co-ed. with Elizabeth Malson-Huddle (Albany: SUNY Press,  2012).</w:t>
            </w:r>
          </w:p>
        </w:tc>
      </w:tr>
      <w:tr w:rsidR="4B0CD5F4" w:rsidTr="4B0CD5F4" w14:paraId="518BDEA1">
        <w:trPr>
          <w:trHeight w:val="300"/>
        </w:trPr>
        <w:tc>
          <w:tcPr>
            <w:tcW w:w="40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B0CD5F4" w:rsidP="4B0CD5F4" w:rsidRDefault="4B0CD5F4" w14:paraId="2B6C7142" w14:textId="68218FD6">
            <w:pPr>
              <w:spacing w:before="0" w:beforeAutospacing="off" w:after="0" w:afterAutospacing="off"/>
            </w:pPr>
            <w:r w:rsidR="4B0CD5F4">
              <w:drawing>
                <wp:inline wp14:editId="74A2EEFB" wp14:anchorId="76062CA2">
                  <wp:extent cx="2276475" cy="3419475"/>
                  <wp:effectExtent l="0" t="0" r="0" b="0"/>
                  <wp:docPr id="157175175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c785a12f659446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341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B0CD5F4" w:rsidP="4B0CD5F4" w:rsidRDefault="4B0CD5F4" w14:paraId="0CB89D26" w14:textId="38DE655F">
            <w:pPr>
              <w:spacing w:before="0" w:beforeAutospacing="off" w:after="284" w:afterAutospacing="off"/>
            </w:pPr>
            <w:r w:rsidRPr="4B0CD5F4" w:rsidR="4B0CD5F4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A Companion to Henry James Studies</w:t>
            </w:r>
            <w:r w:rsidRPr="4B0CD5F4" w:rsidR="4B0CD5F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(Greenwood P, 1993).</w:t>
            </w:r>
          </w:p>
        </w:tc>
      </w:tr>
      <w:tr w:rsidR="4B0CD5F4" w:rsidTr="4B0CD5F4" w14:paraId="35481961">
        <w:trPr>
          <w:trHeight w:val="300"/>
        </w:trPr>
        <w:tc>
          <w:tcPr>
            <w:tcW w:w="40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B0CD5F4" w:rsidP="4B0CD5F4" w:rsidRDefault="4B0CD5F4" w14:paraId="50A5C4CF" w14:textId="1DB908A3">
            <w:pPr>
              <w:spacing w:before="0" w:beforeAutospacing="off" w:after="0" w:afterAutospacing="off"/>
            </w:pPr>
            <w:r w:rsidR="4B0CD5F4">
              <w:drawing>
                <wp:inline wp14:editId="3E9575E5" wp14:anchorId="084A5D0A">
                  <wp:extent cx="2276475" cy="3419475"/>
                  <wp:effectExtent l="0" t="0" r="0" b="0"/>
                  <wp:docPr id="6159163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3a06c711c4b430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341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B0CD5F4" w:rsidP="4B0CD5F4" w:rsidRDefault="4B0CD5F4" w14:paraId="6980EAF9" w14:textId="08843D13">
            <w:pPr>
              <w:spacing w:before="0" w:beforeAutospacing="off" w:after="0" w:afterAutospacing="off"/>
            </w:pPr>
            <w:r w:rsidRPr="4B0CD5F4" w:rsidR="4B0CD5F4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Covert Relations: James Joyce, Virginia Woolf, and Henry James </w:t>
            </w:r>
            <w:r w:rsidRPr="4B0CD5F4" w:rsidR="4B0CD5F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(University Press of Virginia 1990).</w:t>
            </w:r>
          </w:p>
        </w:tc>
      </w:tr>
      <w:tr w:rsidR="4B0CD5F4" w:rsidTr="4B0CD5F4" w14:paraId="196DE7FC">
        <w:trPr>
          <w:trHeight w:val="300"/>
        </w:trPr>
        <w:tc>
          <w:tcPr>
            <w:tcW w:w="40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B0CD5F4" w:rsidP="4B0CD5F4" w:rsidRDefault="4B0CD5F4" w14:paraId="00573A29" w14:textId="4D29D3AB">
            <w:pPr>
              <w:spacing w:before="0" w:beforeAutospacing="off" w:after="0" w:afterAutospacing="off"/>
            </w:pPr>
            <w:r w:rsidR="4B0CD5F4">
              <w:drawing>
                <wp:inline wp14:editId="3B559668" wp14:anchorId="697E1E89">
                  <wp:extent cx="2276475" cy="3419475"/>
                  <wp:effectExtent l="0" t="0" r="0" b="0"/>
                  <wp:docPr id="86502422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3b5377297794b8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341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B0CD5F4" w:rsidP="4B0CD5F4" w:rsidRDefault="4B0CD5F4" w14:paraId="10631169" w14:textId="2232C1C7">
            <w:pPr>
              <w:spacing w:before="0" w:beforeAutospacing="off" w:after="0" w:afterAutospacing="off"/>
            </w:pPr>
            <w:r w:rsidRPr="4B0CD5F4" w:rsidR="4B0CD5F4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DAISY MILLER: A Dark Comedy of Manners</w:t>
            </w:r>
            <w:r w:rsidRPr="4B0CD5F4" w:rsidR="4B0CD5F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(Twayne, 1990).</w:t>
            </w:r>
          </w:p>
        </w:tc>
      </w:tr>
      <w:tr w:rsidR="4B0CD5F4" w:rsidTr="4B0CD5F4" w14:paraId="7CDB25A2">
        <w:trPr>
          <w:trHeight w:val="300"/>
        </w:trPr>
        <w:tc>
          <w:tcPr>
            <w:tcW w:w="40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B0CD5F4" w:rsidP="4B0CD5F4" w:rsidRDefault="4B0CD5F4" w14:paraId="30BA8943" w14:textId="4737CFAD">
            <w:pPr>
              <w:spacing w:before="0" w:beforeAutospacing="off" w:after="0" w:afterAutospacing="off"/>
            </w:pPr>
            <w:r w:rsidR="4B0CD5F4">
              <w:drawing>
                <wp:inline wp14:editId="427D4CB3" wp14:anchorId="288B95D9">
                  <wp:extent cx="2276475" cy="3419475"/>
                  <wp:effectExtent l="0" t="0" r="0" b="0"/>
                  <wp:docPr id="203835450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73a83ec1c40416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341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B0CD5F4" w:rsidP="4B0CD5F4" w:rsidRDefault="4B0CD5F4" w14:paraId="63FD4F18" w14:textId="12DAE19F">
            <w:pPr>
              <w:spacing w:before="0" w:beforeAutospacing="off" w:after="0" w:afterAutospacing="off"/>
            </w:pPr>
            <w:r w:rsidRPr="4B0CD5F4" w:rsidR="4B0CD5F4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Princess Casamassima, The Tragic Muse, and The Reverberator, by Henry James</w:t>
            </w:r>
            <w:r w:rsidRPr="4B0CD5F4" w:rsidR="4B0CD5F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(edited volume in the Library of America, 1989; main selection, June, 1989, Reader’s Subscription Book Club).</w:t>
            </w:r>
          </w:p>
        </w:tc>
      </w:tr>
      <w:tr w:rsidR="4B0CD5F4" w:rsidTr="4B0CD5F4" w14:paraId="11076CEA">
        <w:trPr>
          <w:trHeight w:val="300"/>
        </w:trPr>
        <w:tc>
          <w:tcPr>
            <w:tcW w:w="40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B0CD5F4" w:rsidP="4B0CD5F4" w:rsidRDefault="4B0CD5F4" w14:paraId="010693E1" w14:textId="6052288B">
            <w:pPr>
              <w:spacing w:before="0" w:beforeAutospacing="off" w:after="0" w:afterAutospacing="off"/>
            </w:pPr>
            <w:r w:rsidR="4B0CD5F4">
              <w:drawing>
                <wp:inline wp14:editId="5700AA1B" wp14:anchorId="284FA63A">
                  <wp:extent cx="2276475" cy="3419475"/>
                  <wp:effectExtent l="0" t="0" r="0" b="0"/>
                  <wp:docPr id="208052179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c5b1dc96f6c4ec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341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B0CD5F4" w:rsidP="4B0CD5F4" w:rsidRDefault="4B0CD5F4" w14:paraId="2609E5DC" w14:textId="7E1B40E6">
            <w:pPr>
              <w:spacing w:before="0" w:beforeAutospacing="off" w:after="0" w:afterAutospacing="off"/>
            </w:pPr>
            <w:r w:rsidRPr="4B0CD5F4" w:rsidR="4B0CD5F4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American Letters and the Historical Consciousness</w:t>
            </w:r>
            <w:r w:rsidRPr="4B0CD5F4" w:rsidR="4B0CD5F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introd. and co-ed, with J. Gerald Kennedy (Louisiana State University Press, 1987).</w:t>
            </w:r>
          </w:p>
        </w:tc>
      </w:tr>
      <w:tr w:rsidR="4B0CD5F4" w:rsidTr="4B0CD5F4" w14:paraId="02690BE0">
        <w:trPr>
          <w:trHeight w:val="300"/>
        </w:trPr>
        <w:tc>
          <w:tcPr>
            <w:tcW w:w="40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B0CD5F4" w:rsidP="4B0CD5F4" w:rsidRDefault="4B0CD5F4" w14:paraId="38E7DF68" w14:textId="68F64F26">
            <w:pPr>
              <w:spacing w:before="0" w:beforeAutospacing="off" w:after="0" w:afterAutospacing="off"/>
            </w:pPr>
            <w:r w:rsidR="4B0CD5F4">
              <w:drawing>
                <wp:inline wp14:editId="24F3947C" wp14:anchorId="6B647E08">
                  <wp:extent cx="2276475" cy="3419475"/>
                  <wp:effectExtent l="0" t="0" r="0" b="0"/>
                  <wp:docPr id="98440580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2e347b5d35f42c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341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B0CD5F4" w:rsidP="4B0CD5F4" w:rsidRDefault="4B0CD5F4" w14:paraId="2A2F8154" w14:textId="302C51D4">
            <w:pPr>
              <w:spacing w:before="0" w:beforeAutospacing="off" w:after="0" w:afterAutospacing="off"/>
            </w:pPr>
            <w:r w:rsidRPr="4B0CD5F4" w:rsidR="4B0CD5F4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Henry James and the Structure of the Romantic Imagination</w:t>
            </w:r>
            <w:r w:rsidRPr="4B0CD5F4" w:rsidR="4B0CD5F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(Louisiana State University Press, 1981; publisher’s nominee for the Pulitzer Prize).</w:t>
            </w:r>
          </w:p>
        </w:tc>
      </w:tr>
      <w:tr w:rsidR="4B0CD5F4" w:rsidTr="4B0CD5F4" w14:paraId="5FD3C799">
        <w:trPr>
          <w:trHeight w:val="300"/>
        </w:trPr>
        <w:tc>
          <w:tcPr>
            <w:tcW w:w="40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B0CD5F4" w:rsidP="4B0CD5F4" w:rsidRDefault="4B0CD5F4" w14:paraId="6A35D1EA" w14:textId="6C88AEE9">
            <w:pPr>
              <w:spacing w:before="0" w:beforeAutospacing="off" w:after="0" w:afterAutospacing="off"/>
            </w:pPr>
            <w:r w:rsidR="4B0CD5F4">
              <w:drawing>
                <wp:inline wp14:editId="3471E128" wp14:anchorId="76AF1E06">
                  <wp:extent cx="2276475" cy="3419475"/>
                  <wp:effectExtent l="0" t="0" r="0" b="0"/>
                  <wp:docPr id="33424737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289ff4cbb7740b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341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B0CD5F4" w:rsidP="4B0CD5F4" w:rsidRDefault="4B0CD5F4" w14:paraId="2792FC7C" w14:textId="5F767BB2">
            <w:pPr>
              <w:spacing w:before="0" w:beforeAutospacing="off" w:after="0" w:afterAutospacing="off"/>
            </w:pPr>
            <w:r w:rsidRPr="4B0CD5F4" w:rsidR="4B0CD5F4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A Trick of Resilience</w:t>
            </w:r>
            <w:r w:rsidRPr="4B0CD5F4" w:rsidR="4B0CD5F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(poems; Ithaca House, 1975).</w:t>
            </w:r>
          </w:p>
        </w:tc>
      </w:tr>
    </w:tbl>
    <w:p w:rsidR="5CF15280" w:rsidP="5CF15280" w:rsidRDefault="5CF15280" w14:paraId="28D41396" w14:textId="79A42311">
      <w:pPr>
        <w:pStyle w:val="Normal"/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5FA9914"/>
    <w:rsid w:val="067BAB69"/>
    <w:rsid w:val="091D3130"/>
    <w:rsid w:val="10B23B2E"/>
    <w:rsid w:val="18E25AE6"/>
    <w:rsid w:val="1E65C6FD"/>
    <w:rsid w:val="22ADB3DD"/>
    <w:rsid w:val="2AC4B5A3"/>
    <w:rsid w:val="3D63129D"/>
    <w:rsid w:val="4224B587"/>
    <w:rsid w:val="4B0CD5F4"/>
    <w:rsid w:val="53E9AB77"/>
    <w:rsid w:val="59457F5C"/>
    <w:rsid w:val="5BAFB56D"/>
    <w:rsid w:val="5CF15280"/>
    <w:rsid w:val="5FB04256"/>
    <w:rsid w:val="5FB04256"/>
    <w:rsid w:val="60A3F1E3"/>
    <w:rsid w:val="6402D7C7"/>
    <w:rsid w:val="64B8CBD1"/>
    <w:rsid w:val="66FD46B7"/>
    <w:rsid w:val="75A4CD01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3.jpg" Id="R5857d0f25cc24089" /><Relationship Type="http://schemas.openxmlformats.org/officeDocument/2006/relationships/image" Target="/media/image4.jpg" Id="Rbc785a12f6594466" /><Relationship Type="http://schemas.openxmlformats.org/officeDocument/2006/relationships/image" Target="/media/image5.jpg" Id="R13a06c711c4b4306" /><Relationship Type="http://schemas.openxmlformats.org/officeDocument/2006/relationships/image" Target="/media/image6.jpg" Id="R63b5377297794b85" /><Relationship Type="http://schemas.openxmlformats.org/officeDocument/2006/relationships/image" Target="/media/image7.jpg" Id="Re73a83ec1c404160" /><Relationship Type="http://schemas.openxmlformats.org/officeDocument/2006/relationships/image" Target="/media/image8.jpg" Id="R1c5b1dc96f6c4ecf" /><Relationship Type="http://schemas.openxmlformats.org/officeDocument/2006/relationships/image" Target="/media/image9.jpg" Id="Ra2e347b5d35f42c2" /><Relationship Type="http://schemas.openxmlformats.org/officeDocument/2006/relationships/image" Target="/media/imagea.jpg" Id="Rf289ff4cbb7740b2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7</revision>
  <dcterms:created xsi:type="dcterms:W3CDTF">2024-04-26T17:50:57.2467588Z</dcterms:created>
  <dcterms:modified xsi:type="dcterms:W3CDTF">2024-04-29T15:10:42.5650493Z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