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3E87E777">
      <w:pPr>
        <w:pStyle w:val="Heading1"/>
        <w:rPr>
          <w:noProof w:val="0"/>
          <w:sz w:val="72"/>
          <w:szCs w:val="72"/>
          <w:lang w:val="en-US"/>
        </w:rPr>
      </w:pPr>
      <w:r w:rsidRPr="57561DEF" w:rsidR="6AB02FBC">
        <w:rPr>
          <w:sz w:val="72"/>
          <w:szCs w:val="72"/>
        </w:rPr>
        <w:t>Annika Ljung-Baruth</w:t>
      </w:r>
    </w:p>
    <w:p w:rsidR="59457F5C" w:rsidP="7E73334B" w:rsidRDefault="59457F5C" w14:paraId="4E195F3D" w14:textId="641D680E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57561DEF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59457F5C" w:rsidP="5CF15280" w:rsidRDefault="59457F5C" w14:paraId="648FC25A" w14:textId="1FEE2B1D">
      <w:pPr>
        <w:shd w:val="clear" w:color="auto" w:fill="FFFFFF" w:themeFill="background1"/>
        <w:spacing w:before="0" w:beforeAutospacing="off" w:after="340" w:afterAutospacing="off"/>
      </w:pPr>
      <w:r w:rsidRPr="57561DEF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825"/>
        <w:gridCol w:w="5655"/>
      </w:tblGrid>
      <w:tr w:rsidR="57561DEF" w:rsidTr="57561DEF" w14:paraId="2E08F8AB">
        <w:trPr>
          <w:trHeight w:val="300"/>
        </w:trPr>
        <w:tc>
          <w:tcPr>
            <w:tcW w:w="382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7837946F" w14:textId="3E9C64F7">
            <w:pPr>
              <w:spacing w:before="0" w:beforeAutospacing="off" w:after="284" w:afterAutospacing="off"/>
            </w:pPr>
            <w:r w:rsidR="57561DEF">
              <w:drawing>
                <wp:inline wp14:editId="1152B528" wp14:anchorId="7C170BC2">
                  <wp:extent cx="2143125" cy="3219450"/>
                  <wp:effectExtent l="0" t="0" r="0" b="0"/>
                  <wp:docPr id="94030914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cc3a2c7bcab44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321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52B55C20" w14:textId="44A23E5C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 Steady Flameless Light: The Phenomenology of Realness in Dorothy Canfield Fisher's The Brimming Cup, Her Son's Wife, and Rough-Hewn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Stockholm: Almquist &amp; Wiksell International, 2002.</w:t>
            </w:r>
          </w:p>
        </w:tc>
      </w:tr>
    </w:tbl>
    <w:p w:rsidR="59457F5C" w:rsidP="57561DEF" w:rsidRDefault="59457F5C" w14:paraId="419CA93D" w14:textId="4DFC748E">
      <w:pPr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59457F5C" w:rsidP="5CF15280" w:rsidRDefault="59457F5C" w14:paraId="0CE2CA07" w14:textId="6D7066B7">
      <w:pPr>
        <w:shd w:val="clear" w:color="auto" w:fill="FFFFFF" w:themeFill="background1"/>
        <w:spacing w:before="0" w:beforeAutospacing="off" w:after="340" w:afterAutospacing="off"/>
      </w:pPr>
      <w:r w:rsidRPr="57561DEF" w:rsidR="29913CD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Articles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58"/>
        <w:gridCol w:w="6135"/>
      </w:tblGrid>
      <w:tr w:rsidR="57561DEF" w:rsidTr="57561DEF" w14:paraId="79204A95">
        <w:trPr>
          <w:trHeight w:val="300"/>
        </w:trPr>
        <w:tc>
          <w:tcPr>
            <w:tcW w:w="335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5087FEF6" w14:textId="6D8AD151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“The Virtue of Responsibility: Femininity, Temporality, and Space in Michael Cunningham’s 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Hours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”</w:t>
            </w:r>
          </w:p>
        </w:tc>
        <w:tc>
          <w:tcPr>
            <w:tcW w:w="61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70EA1FA1" w14:textId="28578AFD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Virtues and Passions in Literature: Excellence,</w:t>
            </w:r>
            <w:r>
              <w:br/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Courage, Engagements, Wisdom, Fulfilment. Analecta Husserliana: The Yearbook of Phenomenological Research.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Vol. XCVI. Ed. Anna-Teresa Tymieniecka. Dordrecht: Springer, 2008. pp. 159-167.</w:t>
            </w:r>
          </w:p>
        </w:tc>
      </w:tr>
      <w:tr w:rsidR="57561DEF" w:rsidTr="57561DEF" w14:paraId="0496E122">
        <w:trPr>
          <w:trHeight w:val="300"/>
        </w:trPr>
        <w:tc>
          <w:tcPr>
            <w:tcW w:w="335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383A58A3" w14:textId="10496893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“In Search of a Moral Erotic Standard: Female Subjectivity and Eros in Dorothy Canfield Fisher's 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Rough-Hewn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Brimming Cup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”</w:t>
            </w:r>
          </w:p>
        </w:tc>
        <w:tc>
          <w:tcPr>
            <w:tcW w:w="61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4F0FDE54" w14:textId="0ECB6334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Enigma of Good And Evil: The Moral Sentiment in Literature. Analecta Husserliana: The Yearbook of Phenomenological Research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Vol. LXXXV. Ed. Anna-Teresa Tymienecka. Dordrecht: Springer, 2005. pp. 573-583</w:t>
            </w:r>
          </w:p>
        </w:tc>
      </w:tr>
      <w:tr w:rsidR="57561DEF" w:rsidTr="57561DEF" w14:paraId="5079D65B">
        <w:trPr>
          <w:trHeight w:val="300"/>
        </w:trPr>
        <w:tc>
          <w:tcPr>
            <w:tcW w:w="335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7DF0BD8B" w14:textId="6DCC4DB4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“A Paradox of Love: The Manifestation of Life and the Moral Sentiment in</w:t>
            </w:r>
            <w:r>
              <w:br/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Dorothy Canfield Fisher's 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Her Son's Wife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”</w:t>
            </w:r>
          </w:p>
        </w:tc>
        <w:tc>
          <w:tcPr>
            <w:tcW w:w="61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3416B42E" w14:textId="46EDE295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The Enigma of Good And Evil: The Moral Sentiment in Literature. Analecta Husserliana: The Yearbook of Phenomenological Research. 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Vol. LXXXV. Ed. Anna-Teresa Tymienecka. Dordrecht: Springer, 2005. pp. 29-45.</w:t>
            </w:r>
          </w:p>
        </w:tc>
      </w:tr>
      <w:tr w:rsidR="57561DEF" w:rsidTr="57561DEF" w14:paraId="0D4825B4">
        <w:trPr>
          <w:trHeight w:val="300"/>
        </w:trPr>
        <w:tc>
          <w:tcPr>
            <w:tcW w:w="335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312618EA" w14:textId="087E1978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“A Trace of Joy: Female Sexuality and Meaning in 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Brimming Cup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Rough-Hewn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”</w:t>
            </w:r>
          </w:p>
        </w:tc>
        <w:tc>
          <w:tcPr>
            <w:tcW w:w="61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2B4A8C64" w14:textId="093C4C90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Dorothy Canfield Fisher Newsletter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Vol. 10, Winter 2003. pp. 2-6.</w:t>
            </w:r>
          </w:p>
        </w:tc>
      </w:tr>
      <w:tr w:rsidR="57561DEF" w:rsidTr="57561DEF" w14:paraId="1DA4FE81">
        <w:trPr>
          <w:trHeight w:val="300"/>
        </w:trPr>
        <w:tc>
          <w:tcPr>
            <w:tcW w:w="335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16973079" w14:textId="3065FDE5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Question of Presence in Two Novels by Dorothy Canfield Fisher: A</w:t>
            </w:r>
            <w:r>
              <w:br/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Reading Based on Emmanuel Levinas and Michel Henry”</w:t>
            </w:r>
          </w:p>
        </w:tc>
        <w:tc>
          <w:tcPr>
            <w:tcW w:w="613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7561DEF" w:rsidP="57561DEF" w:rsidRDefault="57561DEF" w14:paraId="26A7CC8B" w14:textId="01CCCF21">
            <w:pPr>
              <w:spacing w:before="0" w:beforeAutospacing="off" w:after="0" w:afterAutospacing="off"/>
            </w:pPr>
            <w:r w:rsidRPr="57561DEF" w:rsidR="57561DE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Phenomenological Inquiry.</w:t>
            </w:r>
            <w:r w:rsidRPr="57561DEF" w:rsidR="57561DE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Vol.24, October, 2000. pp. 92-117.</w:t>
            </w:r>
          </w:p>
        </w:tc>
      </w:tr>
    </w:tbl>
    <w:p w:rsidR="59457F5C" w:rsidP="57561DEF" w:rsidRDefault="59457F5C" w14:paraId="0401AEF9" w14:textId="622D8C69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8E25AE6"/>
    <w:rsid w:val="1E65C6FD"/>
    <w:rsid w:val="22ADB3DD"/>
    <w:rsid w:val="29913CD2"/>
    <w:rsid w:val="2AC4B5A3"/>
    <w:rsid w:val="3D63129D"/>
    <w:rsid w:val="4224B587"/>
    <w:rsid w:val="53E9AB77"/>
    <w:rsid w:val="57561DEF"/>
    <w:rsid w:val="592A59C7"/>
    <w:rsid w:val="59457F5C"/>
    <w:rsid w:val="5CF15280"/>
    <w:rsid w:val="5FB04256"/>
    <w:rsid w:val="5FB04256"/>
    <w:rsid w:val="60A3F1E3"/>
    <w:rsid w:val="6402D7C7"/>
    <w:rsid w:val="64B8CBD1"/>
    <w:rsid w:val="66FD46B7"/>
    <w:rsid w:val="6AB02FBC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3cc3a2c7bcab441b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2024-04-30T16:56:56.9884011Z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