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10EC2" w14:textId="630FF80C" w:rsidR="005B7FC7" w:rsidRDefault="005B7FC7" w:rsidP="002B2CD7">
      <w:pPr>
        <w:spacing w:line="480" w:lineRule="auto"/>
      </w:pPr>
      <w:r>
        <w:rPr>
          <w:b/>
        </w:rPr>
        <w:t>Introduction</w:t>
      </w:r>
    </w:p>
    <w:p w14:paraId="4036714C" w14:textId="72FBB47F" w:rsidR="005B7FC7" w:rsidRDefault="005B7FC7" w:rsidP="002B2CD7">
      <w:pPr>
        <w:spacing w:line="480" w:lineRule="auto"/>
      </w:pPr>
      <w:r>
        <w:tab/>
      </w:r>
      <w:r w:rsidR="00EE61A4">
        <w:t>Humans have become one of the most effective geomorphic agents on the planet, altering 54% of the total lan</w:t>
      </w:r>
      <w:r w:rsidR="00841996">
        <w:t>d area on earth, 47% of which is</w:t>
      </w:r>
      <w:r w:rsidR="00EE61A4">
        <w:t xml:space="preserve"> through agriculture and forestry </w:t>
      </w:r>
      <w:r w:rsidR="00A75CE2" w:rsidRPr="001844AC">
        <w:rPr>
          <w:highlight w:val="red"/>
        </w:rPr>
        <w:t>(Hooke Article, GSA Today Dec. 2012</w:t>
      </w:r>
      <w:r w:rsidR="00EE61A4" w:rsidRPr="001844AC">
        <w:rPr>
          <w:highlight w:val="red"/>
        </w:rPr>
        <w:t>)</w:t>
      </w:r>
      <w:r w:rsidR="00EE61A4">
        <w:t>. By some estim</w:t>
      </w:r>
      <w:r w:rsidR="00841996">
        <w:t>ates humans move more earth</w:t>
      </w:r>
      <w:r w:rsidR="00EE61A4">
        <w:t xml:space="preserve"> annually than any other geomorphic process, including mountain building </w:t>
      </w:r>
      <w:r w:rsidR="00EE61A4" w:rsidRPr="001844AC">
        <w:rPr>
          <w:highlight w:val="red"/>
        </w:rPr>
        <w:t>(Hooke, 1994).</w:t>
      </w:r>
      <w:r w:rsidR="00EE61A4">
        <w:t xml:space="preserve"> The result of human induced erosion and sediment redist</w:t>
      </w:r>
      <w:r w:rsidR="00A75CE2">
        <w:t xml:space="preserve">ribution is enormous, and directly impacts humanity’s ability to produce food, source drinking water, and build communities, as well as the health of natural ecosystems </w:t>
      </w:r>
      <w:r w:rsidR="00A75CE2" w:rsidRPr="001844AC">
        <w:rPr>
          <w:rFonts w:ascii="Times New Roman" w:hAnsi="Times New Roman" w:cs="Times New Roman"/>
          <w:noProof/>
          <w:highlight w:val="red"/>
        </w:rPr>
        <w:t>(Foley et al., 2005, Fürst et al., In Press).</w:t>
      </w:r>
      <w:r w:rsidR="00A75CE2">
        <w:rPr>
          <w:rFonts w:ascii="Times New Roman" w:hAnsi="Times New Roman" w:cs="Times New Roman"/>
          <w:noProof/>
        </w:rPr>
        <w:t xml:space="preserve"> </w:t>
      </w:r>
    </w:p>
    <w:p w14:paraId="3A35C7D0" w14:textId="53FACCCE" w:rsidR="005B7FC7" w:rsidRPr="001844AC" w:rsidRDefault="005B7FC7" w:rsidP="00841996">
      <w:pPr>
        <w:spacing w:line="480" w:lineRule="auto"/>
        <w:ind w:firstLine="720"/>
        <w:rPr>
          <w:vertAlign w:val="superscript"/>
        </w:rPr>
      </w:pPr>
      <w:r>
        <w:t>Characterizing natural b</w:t>
      </w:r>
      <w:r w:rsidR="007A5251">
        <w:t>ackground erosion rates is critical to understanding the magnitude and type of impacts humans have on the landscape. My research seeks to use modern sediment associated isotopic methods, up to 23 years of daily sediment yield, and remotely sensed land use data to characterize the natural background rates of erosion, modern erosion rates, and the affect of la</w:t>
      </w:r>
      <w:r w:rsidR="00573BC4">
        <w:t xml:space="preserve">nd-use on erosion. </w:t>
      </w:r>
      <w:r w:rsidR="00841996">
        <w:t>The field are of interest consists of t</w:t>
      </w:r>
      <w:r w:rsidR="00573BC4">
        <w:t>hree parent basins</w:t>
      </w:r>
      <w:r w:rsidR="007A5251">
        <w:t xml:space="preserve"> ranging from 200 to 2000 km</w:t>
      </w:r>
      <w:r w:rsidR="007A5251">
        <w:rPr>
          <w:vertAlign w:val="superscript"/>
        </w:rPr>
        <w:t>2</w:t>
      </w:r>
      <w:r w:rsidR="00573BC4">
        <w:t xml:space="preserve"> within the Mekong river system in Yunnan province, SW China</w:t>
      </w:r>
      <w:r w:rsidR="001844AC">
        <w:t xml:space="preserve"> </w:t>
      </w:r>
      <w:r w:rsidR="001844AC" w:rsidRPr="001844AC">
        <w:rPr>
          <w:highlight w:val="yellow"/>
        </w:rPr>
        <w:t>(Figure 1)</w:t>
      </w:r>
      <w:r w:rsidR="00573BC4">
        <w:t>. Sediment samples have been collected for up to 25 sub-basin</w:t>
      </w:r>
      <w:r w:rsidR="00841996">
        <w:t>s within each of the three</w:t>
      </w:r>
      <w:r w:rsidR="00573BC4">
        <w:t xml:space="preserve"> parent basin</w:t>
      </w:r>
      <w:r w:rsidR="00841996">
        <w:t>s</w:t>
      </w:r>
      <w:r w:rsidR="00573BC4">
        <w:t xml:space="preserve">, and will be analyzed for </w:t>
      </w:r>
      <w:r w:rsidR="00573BC4">
        <w:rPr>
          <w:i/>
        </w:rPr>
        <w:t>in situ</w:t>
      </w:r>
      <w:r w:rsidR="00573BC4">
        <w:t xml:space="preserve"> </w:t>
      </w:r>
      <w:r w:rsidR="00573BC4">
        <w:rPr>
          <w:vertAlign w:val="superscript"/>
        </w:rPr>
        <w:t>10</w:t>
      </w:r>
      <w:r w:rsidR="00573BC4">
        <w:t xml:space="preserve">Be, meteoric </w:t>
      </w:r>
      <w:r w:rsidR="00573BC4">
        <w:rPr>
          <w:vertAlign w:val="superscript"/>
        </w:rPr>
        <w:t>10</w:t>
      </w:r>
      <w:r w:rsidR="00573BC4">
        <w:t xml:space="preserve">Be, </w:t>
      </w:r>
      <w:r w:rsidR="00573BC4">
        <w:rPr>
          <w:vertAlign w:val="superscript"/>
        </w:rPr>
        <w:t>137</w:t>
      </w:r>
      <w:r w:rsidR="00573BC4">
        <w:t xml:space="preserve">Cs, and unsupported </w:t>
      </w:r>
      <w:r w:rsidR="00573BC4">
        <w:rPr>
          <w:vertAlign w:val="superscript"/>
        </w:rPr>
        <w:t>210</w:t>
      </w:r>
      <w:r w:rsidR="00573BC4">
        <w:t>Pb. Beryllium-10 is a rare isotope widely used to determine background erosion rates</w:t>
      </w:r>
      <w:r w:rsidR="00841996">
        <w:t xml:space="preserve"> (</w:t>
      </w:r>
      <w:r w:rsidR="00841996">
        <w:rPr>
          <w:i/>
        </w:rPr>
        <w:t>in situ</w:t>
      </w:r>
      <w:r w:rsidR="00841996">
        <w:t xml:space="preserve">) </w:t>
      </w:r>
      <w:r w:rsidR="00573BC4">
        <w:t>and soil loss rates</w:t>
      </w:r>
      <w:r w:rsidR="00841996">
        <w:t xml:space="preserve"> (meteoric)</w:t>
      </w:r>
      <w:r w:rsidR="00573BC4">
        <w:t>, and cesium-137 and unsupported lead-210 (collectively referred to as short-lived isotopes) have been widely used to assess erosion in the past ~300 years.</w:t>
      </w:r>
      <w:r w:rsidR="00573BC4">
        <w:rPr>
          <w:rStyle w:val="FootnoteReference"/>
        </w:rPr>
        <w:footnoteReference w:id="1"/>
      </w:r>
      <w:r w:rsidR="00573BC4">
        <w:t xml:space="preserve"> </w:t>
      </w:r>
      <w:r w:rsidR="001844AC">
        <w:t xml:space="preserve">Opportunistic field </w:t>
      </w:r>
      <w:r w:rsidR="001844AC">
        <w:lastRenderedPageBreak/>
        <w:t>sampling of</w:t>
      </w:r>
      <w:r w:rsidR="00841996">
        <w:t xml:space="preserve"> radiocarbon-14 in terraces</w:t>
      </w:r>
      <w:r w:rsidR="001844AC">
        <w:t xml:space="preserve"> provide insight into erosion occurring in the time frame between the </w:t>
      </w:r>
      <w:r w:rsidR="001844AC">
        <w:rPr>
          <w:vertAlign w:val="superscript"/>
        </w:rPr>
        <w:t>10</w:t>
      </w:r>
      <w:r w:rsidR="001844AC">
        <w:t>Be and short-lived isotopes.</w:t>
      </w:r>
    </w:p>
    <w:p w14:paraId="7A221FBD" w14:textId="732A48CE" w:rsidR="00004C7F" w:rsidRDefault="001844AC" w:rsidP="00990441">
      <w:pPr>
        <w:spacing w:line="480" w:lineRule="auto"/>
        <w:ind w:firstLine="720"/>
      </w:pPr>
      <w:r>
        <w:t>Through the use of multiple isotopic systems relevant at a range of temporal scales, daily sediment yield records, and</w:t>
      </w:r>
      <w:r w:rsidR="007A71C0">
        <w:t xml:space="preserve"> land use, I intend to address four</w:t>
      </w:r>
      <w:r>
        <w:t xml:space="preserve"> geologically and societally relevant questions: (1) Where is the sediment coming from? (2) How does erosion change from natural pre-human conditions to modern times? (3)</w:t>
      </w:r>
      <w:r w:rsidR="007A71C0">
        <w:t xml:space="preserve"> What are the primary types of erosion occurring (i.e. what is the source depth of sediment)? (4) How </w:t>
      </w:r>
      <w:r w:rsidR="00004C7F">
        <w:t>efficiently</w:t>
      </w:r>
      <w:r w:rsidR="007A71C0">
        <w:t xml:space="preserve"> is sediment exported from upland basins to main-stem trunk streams?</w:t>
      </w:r>
    </w:p>
    <w:p w14:paraId="3A4562B5" w14:textId="7B54DBBF" w:rsidR="00D06A15" w:rsidRPr="00753BE8" w:rsidRDefault="00D06A15" w:rsidP="002B2CD7">
      <w:pPr>
        <w:spacing w:line="480" w:lineRule="auto"/>
        <w:rPr>
          <w:b/>
        </w:rPr>
      </w:pPr>
      <w:r w:rsidRPr="00841996">
        <w:rPr>
          <w:b/>
        </w:rPr>
        <w:t>Work Completed to date</w:t>
      </w:r>
    </w:p>
    <w:p w14:paraId="12E88F66" w14:textId="77777777" w:rsidR="00D06A15" w:rsidRDefault="00D06A15" w:rsidP="002B2CD7">
      <w:pPr>
        <w:spacing w:line="480" w:lineRule="auto"/>
      </w:pPr>
      <w:r>
        <w:rPr>
          <w:i/>
        </w:rPr>
        <w:t>Field Work</w:t>
      </w:r>
    </w:p>
    <w:p w14:paraId="3885AD44" w14:textId="454FA198" w:rsidR="00753BE8" w:rsidRDefault="00AB402C" w:rsidP="002B2CD7">
      <w:pPr>
        <w:spacing w:line="480" w:lineRule="auto"/>
      </w:pPr>
      <w:r>
        <w:tab/>
        <w:t xml:space="preserve">A total of 78 discrete samples (210 measurements) were collected between May 21, 2013 and June 15, 2013 at field sites throughout Yunnan province, SW China. Samples were collected for </w:t>
      </w:r>
      <w:r>
        <w:rPr>
          <w:i/>
        </w:rPr>
        <w:t>in situ</w:t>
      </w:r>
      <w:r>
        <w:t xml:space="preserve"> and meteoric </w:t>
      </w:r>
      <w:r>
        <w:rPr>
          <w:vertAlign w:val="superscript"/>
        </w:rPr>
        <w:t>10</w:t>
      </w:r>
      <w:r>
        <w:t xml:space="preserve">Be analysis, </w:t>
      </w:r>
      <w:r>
        <w:rPr>
          <w:vertAlign w:val="superscript"/>
        </w:rPr>
        <w:t>137</w:t>
      </w:r>
      <w:r>
        <w:t xml:space="preserve">Cs, unsupported </w:t>
      </w:r>
      <w:r>
        <w:rPr>
          <w:vertAlign w:val="superscript"/>
        </w:rPr>
        <w:t>210</w:t>
      </w:r>
      <w:r>
        <w:t xml:space="preserve">Pb, and radiocarbon dating from active channel deposits, terraces, and soil pits </w:t>
      </w:r>
      <w:r w:rsidRPr="004319D1">
        <w:rPr>
          <w:highlight w:val="yellow"/>
        </w:rPr>
        <w:t>(Table 1).</w:t>
      </w:r>
      <w:r w:rsidR="00841996">
        <w:t xml:space="preserve"> Sample sites were selected to represent either an “end-member” land-use, such as primarily forest or primarily agricultu</w:t>
      </w:r>
      <w:r w:rsidR="00753BE8">
        <w:t>re, or as a component of a sediment-networking model that will allow relative sediment contributions from stream branches to be calculated.</w:t>
      </w:r>
    </w:p>
    <w:p w14:paraId="0861FBC2" w14:textId="7D5EA9B9" w:rsidR="00753BE8" w:rsidRDefault="00753BE8" w:rsidP="002B2CD7">
      <w:pPr>
        <w:spacing w:line="480" w:lineRule="auto"/>
      </w:pPr>
      <w:r>
        <w:rPr>
          <w:i/>
        </w:rPr>
        <w:t>Laboratory work</w:t>
      </w:r>
    </w:p>
    <w:p w14:paraId="33A22454" w14:textId="09E05639" w:rsidR="00753BE8" w:rsidRDefault="00753BE8" w:rsidP="00753BE8">
      <w:pPr>
        <w:spacing w:line="480" w:lineRule="auto"/>
        <w:ind w:firstLine="720"/>
      </w:pPr>
      <w:r>
        <w:t xml:space="preserve">In October 2013 I traveled to Glasgow, Scotland to learn the method for measuring </w:t>
      </w:r>
      <w:r>
        <w:rPr>
          <w:vertAlign w:val="superscript"/>
        </w:rPr>
        <w:t>10</w:t>
      </w:r>
      <w:r>
        <w:t xml:space="preserve">Be with Dylan Rood at the Scottish Universities Environmental Research Centre’s accelerator mass spectrometer facility. 20 of 133 total </w:t>
      </w:r>
      <w:r>
        <w:rPr>
          <w:vertAlign w:val="superscript"/>
        </w:rPr>
        <w:t>10</w:t>
      </w:r>
      <w:r>
        <w:t>Be measurements were made as a part of the trip and I will begin data reduction shortly. Measurements have been made using Amanda Schmidt’s germanium detector for 20</w:t>
      </w:r>
      <w:r w:rsidR="00A7472C">
        <w:t xml:space="preserve"> of 65</w:t>
      </w:r>
      <w:r>
        <w:t xml:space="preserve"> </w:t>
      </w:r>
      <w:r>
        <w:rPr>
          <w:vertAlign w:val="superscript"/>
        </w:rPr>
        <w:t>137</w:t>
      </w:r>
      <w:r>
        <w:t xml:space="preserve">Cs and unsupported </w:t>
      </w:r>
      <w:r>
        <w:rPr>
          <w:vertAlign w:val="superscript"/>
        </w:rPr>
        <w:t>210</w:t>
      </w:r>
      <w:r>
        <w:t>Pb samples.</w:t>
      </w:r>
      <w:r w:rsidR="00A7472C">
        <w:t xml:space="preserve"> I will travel to Oberlin in Spring 2014 to learn the laboratory method for counting short-live isotopes.</w:t>
      </w:r>
    </w:p>
    <w:p w14:paraId="4D335168" w14:textId="44C6CE89" w:rsidR="00C4781D" w:rsidRDefault="00C4781D" w:rsidP="00C4781D">
      <w:pPr>
        <w:spacing w:line="480" w:lineRule="auto"/>
      </w:pPr>
      <w:r>
        <w:rPr>
          <w:i/>
        </w:rPr>
        <w:t>Presentation of research</w:t>
      </w:r>
    </w:p>
    <w:p w14:paraId="19EE29C0" w14:textId="7090C872" w:rsidR="00C4781D" w:rsidRPr="00C4781D" w:rsidRDefault="00C4781D" w:rsidP="00C4781D">
      <w:pPr>
        <w:spacing w:line="480" w:lineRule="auto"/>
      </w:pPr>
      <w:r>
        <w:tab/>
        <w:t xml:space="preserve">In October 2013 I traveled to the annual Geological Society of America meeting in Denver, CO to present my research to-date and the novel approach I intend to take to distinguish modern human associated erosion from natural background erosion. I presented my work in poster form in the special session </w:t>
      </w:r>
      <w:r w:rsidR="00DC0352" w:rsidRPr="00DC0352">
        <w:rPr>
          <w:i/>
          <w:highlight w:val="yellow"/>
        </w:rPr>
        <w:t>past, present, and future of geomorphology</w:t>
      </w:r>
      <w:r w:rsidR="00DC0352">
        <w:t xml:space="preserve">. </w:t>
      </w:r>
      <w:r w:rsidR="00DC0352" w:rsidRPr="00DC0352">
        <w:rPr>
          <w:highlight w:val="yellow"/>
        </w:rPr>
        <w:t>(Abstract citation?)</w:t>
      </w:r>
      <w:r w:rsidR="00DC0352">
        <w:t xml:space="preserve"> </w:t>
      </w:r>
      <w:r>
        <w:t xml:space="preserve"> </w:t>
      </w:r>
    </w:p>
    <w:p w14:paraId="7B22C007" w14:textId="7F2DC6E6" w:rsidR="00AB402C" w:rsidRDefault="00AB402C" w:rsidP="002B2CD7">
      <w:pPr>
        <w:spacing w:line="480" w:lineRule="auto"/>
      </w:pPr>
      <w:r>
        <w:rPr>
          <w:i/>
        </w:rPr>
        <w:t>Sample Status</w:t>
      </w:r>
    </w:p>
    <w:p w14:paraId="04AD8453" w14:textId="12635935" w:rsidR="002F5137" w:rsidRDefault="00D06A15" w:rsidP="00753BE8">
      <w:pPr>
        <w:spacing w:line="480" w:lineRule="auto"/>
        <w:ind w:firstLine="720"/>
      </w:pPr>
      <w:r>
        <w:t>Splits of</w:t>
      </w:r>
      <w:r w:rsidR="00753BE8">
        <w:t xml:space="preserve"> short-lived isotope</w:t>
      </w:r>
      <w:r>
        <w:t xml:space="preserve"> samples to be measured </w:t>
      </w:r>
      <w:r w:rsidR="00AB402C">
        <w:t>by Amanda Schmidt’s lab</w:t>
      </w:r>
      <w:r w:rsidR="00753BE8">
        <w:t>oratory</w:t>
      </w:r>
      <w:r w:rsidR="00AB402C">
        <w:t xml:space="preserve"> </w:t>
      </w:r>
      <w:r>
        <w:t>at Oberlin College have been sent to Ohio</w:t>
      </w:r>
      <w:r w:rsidR="00AB402C">
        <w:t xml:space="preserve"> and all measurements will be complete in early 2014. A</w:t>
      </w:r>
      <w:r>
        <w:t xml:space="preserve">ll </w:t>
      </w:r>
      <w:r>
        <w:rPr>
          <w:i/>
        </w:rPr>
        <w:t>in situ</w:t>
      </w:r>
      <w:r>
        <w:t xml:space="preserve"> </w:t>
      </w:r>
      <w:r>
        <w:rPr>
          <w:vertAlign w:val="superscript"/>
        </w:rPr>
        <w:t>10</w:t>
      </w:r>
      <w:r>
        <w:t>Be samples have been reduced to pure quartz</w:t>
      </w:r>
      <w:r w:rsidR="00AB402C">
        <w:t xml:space="preserve"> and</w:t>
      </w:r>
      <w:r w:rsidR="00753BE8">
        <w:t xml:space="preserve"> b</w:t>
      </w:r>
      <w:r w:rsidR="002B2CD7">
        <w:t>eryl</w:t>
      </w:r>
      <w:r w:rsidR="00AB402C">
        <w:t xml:space="preserve">lium has been extracted from 30 </w:t>
      </w:r>
      <w:r w:rsidR="002B2CD7">
        <w:t xml:space="preserve">samples, 20 of which have been measured at the SUERC AMS facility in Glasgow, Scotland. </w:t>
      </w:r>
      <w:r w:rsidR="00AB402C">
        <w:t>Beryllium will be extracted from t</w:t>
      </w:r>
      <w:r w:rsidR="002B2CD7">
        <w:t xml:space="preserve">he remaining 38 </w:t>
      </w:r>
      <w:r w:rsidR="002B2CD7">
        <w:rPr>
          <w:i/>
        </w:rPr>
        <w:t>in situ</w:t>
      </w:r>
      <w:r w:rsidR="00AB402C">
        <w:t xml:space="preserve"> samples</w:t>
      </w:r>
      <w:r w:rsidR="002B2CD7">
        <w:t xml:space="preserve"> by December 20, 2013, and measured by March 2014 at SUERC.</w:t>
      </w:r>
      <w:r w:rsidR="00753BE8">
        <w:t xml:space="preserve"> </w:t>
      </w:r>
      <w:r w:rsidR="002B2CD7">
        <w:t xml:space="preserve">The 65 samples to be measured for meteoric </w:t>
      </w:r>
      <w:r w:rsidR="002B2CD7">
        <w:rPr>
          <w:vertAlign w:val="superscript"/>
        </w:rPr>
        <w:t>10</w:t>
      </w:r>
      <w:r w:rsidR="002B2CD7">
        <w:t xml:space="preserve">Be will be </w:t>
      </w:r>
      <w:proofErr w:type="spellStart"/>
      <w:r w:rsidR="002B2CD7">
        <w:t>shatterboxed</w:t>
      </w:r>
      <w:proofErr w:type="spellEnd"/>
      <w:r w:rsidR="00BC51F3">
        <w:t xml:space="preserve"> in</w:t>
      </w:r>
      <w:r w:rsidR="002B2CD7">
        <w:t xml:space="preserve"> January 2014 and beryllium extraction completed in </w:t>
      </w:r>
      <w:r w:rsidR="00BC51F3">
        <w:t>February</w:t>
      </w:r>
      <w:r w:rsidR="002B2CD7">
        <w:t xml:space="preserve"> 2014. </w:t>
      </w:r>
      <w:r w:rsidR="00BC51F3">
        <w:t xml:space="preserve">Measurements will be made </w:t>
      </w:r>
      <w:r w:rsidR="00753BE8">
        <w:t xml:space="preserve">at SUREC </w:t>
      </w:r>
      <w:r w:rsidR="00BC51F3">
        <w:t>in March</w:t>
      </w:r>
      <w:r w:rsidR="00753BE8">
        <w:t xml:space="preserve"> 2014</w:t>
      </w:r>
      <w:r w:rsidR="00BC51F3">
        <w:t>.</w:t>
      </w:r>
      <w:r w:rsidR="00753BE8">
        <w:t xml:space="preserve"> </w:t>
      </w:r>
      <w:r w:rsidR="002F5137" w:rsidRPr="00DC0352">
        <w:rPr>
          <w:highlight w:val="yellow"/>
        </w:rPr>
        <w:t xml:space="preserve">Radiocarbon samples will be measured </w:t>
      </w:r>
      <w:r w:rsidR="00753BE8" w:rsidRPr="00DC0352">
        <w:rPr>
          <w:highlight w:val="yellow"/>
        </w:rPr>
        <w:t>at University of California Irvine in winter 2014.</w:t>
      </w:r>
    </w:p>
    <w:p w14:paraId="2F6AB900" w14:textId="509D8C99" w:rsidR="00BC51F3" w:rsidRPr="00753BE8" w:rsidRDefault="002F5137" w:rsidP="002F5137">
      <w:pPr>
        <w:spacing w:line="480" w:lineRule="auto"/>
        <w:rPr>
          <w:b/>
        </w:rPr>
      </w:pPr>
      <w:r w:rsidRPr="00753BE8">
        <w:rPr>
          <w:b/>
        </w:rPr>
        <w:t>Preliminary data and results</w:t>
      </w:r>
    </w:p>
    <w:p w14:paraId="2167731D" w14:textId="2FFFFD9B" w:rsidR="00FD096C" w:rsidRDefault="00485D7D" w:rsidP="00121483">
      <w:pPr>
        <w:spacing w:line="480" w:lineRule="auto"/>
      </w:pPr>
      <w:r>
        <w:tab/>
        <w:t>Results for</w:t>
      </w:r>
      <w:r w:rsidR="00FD096C">
        <w:t xml:space="preserve"> </w:t>
      </w:r>
      <w:r w:rsidR="00FD096C">
        <w:rPr>
          <w:vertAlign w:val="superscript"/>
        </w:rPr>
        <w:t>10</w:t>
      </w:r>
      <w:r w:rsidR="00FD096C">
        <w:t>Be and short-lived samples collected in spring 2013</w:t>
      </w:r>
      <w:r>
        <w:t xml:space="preserve"> and measured fall 2013</w:t>
      </w:r>
      <w:r w:rsidR="00FD096C">
        <w:t xml:space="preserve"> have n</w:t>
      </w:r>
      <w:r>
        <w:t>ot yet been reduced for analysis.</w:t>
      </w:r>
      <w:r w:rsidR="00FD096C">
        <w:t xml:space="preserve"> </w:t>
      </w:r>
      <w:r>
        <w:t>However, a</w:t>
      </w:r>
      <w:r w:rsidR="00FD096C">
        <w:t xml:space="preserve"> secondary dataset consisting of </w:t>
      </w:r>
      <w:r w:rsidR="00FD096C">
        <w:rPr>
          <w:vertAlign w:val="superscript"/>
        </w:rPr>
        <w:t>137</w:t>
      </w:r>
      <w:r w:rsidR="00FD096C">
        <w:t xml:space="preserve">Cs, unsupported </w:t>
      </w:r>
      <w:r w:rsidR="00FD096C">
        <w:rPr>
          <w:vertAlign w:val="superscript"/>
        </w:rPr>
        <w:t>210</w:t>
      </w:r>
      <w:r w:rsidR="00FD096C">
        <w:t xml:space="preserve">Pb, and meteoric </w:t>
      </w:r>
      <w:r w:rsidR="00FD096C">
        <w:rPr>
          <w:vertAlign w:val="superscript"/>
        </w:rPr>
        <w:t>10</w:t>
      </w:r>
      <w:r w:rsidR="00FD096C">
        <w:t xml:space="preserve">Be measurements </w:t>
      </w:r>
      <w:r>
        <w:t xml:space="preserve">made </w:t>
      </w:r>
      <w:r w:rsidR="00FD096C">
        <w:t>on samples collected as a part of Amanda Schmidt’s dissert</w:t>
      </w:r>
      <w:r w:rsidR="00D6019A">
        <w:t xml:space="preserve">ation research in 2005 and 2006 </w:t>
      </w:r>
      <w:r>
        <w:t>have</w:t>
      </w:r>
      <w:r w:rsidR="00FD096C">
        <w:t xml:space="preserve"> been measured and analyzed. </w:t>
      </w:r>
      <w:r w:rsidR="00D6019A">
        <w:t>Schmidt’s samples were collected in the Three Rivers Region, adjacent to the north of the field sites visited in 2013, on the Mekong, Salween, and Yangtze rivers.</w:t>
      </w:r>
    </w:p>
    <w:p w14:paraId="3120A207" w14:textId="3D03749B" w:rsidR="00FD096C" w:rsidRDefault="00D6019A" w:rsidP="00121483">
      <w:pPr>
        <w:spacing w:line="480" w:lineRule="auto"/>
      </w:pPr>
      <w:r>
        <w:tab/>
        <w:t xml:space="preserve">Meteoric </w:t>
      </w:r>
      <w:r>
        <w:rPr>
          <w:vertAlign w:val="superscript"/>
        </w:rPr>
        <w:t>10</w:t>
      </w:r>
      <w:r>
        <w:t xml:space="preserve">Be </w:t>
      </w:r>
      <w:r w:rsidRPr="00D6019A">
        <w:t>concentration</w:t>
      </w:r>
      <w:r>
        <w:t xml:space="preserve"> and long term </w:t>
      </w:r>
      <w:r>
        <w:rPr>
          <w:i/>
        </w:rPr>
        <w:t xml:space="preserve">in situ </w:t>
      </w:r>
      <w:r w:rsidRPr="00D6019A">
        <w:rPr>
          <w:vertAlign w:val="superscript"/>
        </w:rPr>
        <w:t>10</w:t>
      </w:r>
      <w:r>
        <w:t xml:space="preserve">Be erosion rates (measured by Schmidt) were used to calculate erosion indices for each basin sampled </w:t>
      </w:r>
      <w:r w:rsidRPr="004319D1">
        <w:rPr>
          <w:highlight w:val="yellow"/>
        </w:rPr>
        <w:t>(</w:t>
      </w:r>
      <w:r w:rsidR="00485D7D" w:rsidRPr="004319D1">
        <w:rPr>
          <w:highlight w:val="yellow"/>
        </w:rPr>
        <w:t>Equation 1).</w:t>
      </w:r>
      <w:r w:rsidR="00485D7D">
        <w:t xml:space="preserve"> Erosion indices describe the ratio of meteoric </w:t>
      </w:r>
      <w:r w:rsidR="00485D7D">
        <w:rPr>
          <w:vertAlign w:val="superscript"/>
        </w:rPr>
        <w:t>10</w:t>
      </w:r>
      <w:r w:rsidR="00485D7D">
        <w:t xml:space="preserve">Be being exported from a basin over the </w:t>
      </w:r>
      <w:r w:rsidR="00485D7D">
        <w:rPr>
          <w:vertAlign w:val="superscript"/>
        </w:rPr>
        <w:t>10</w:t>
      </w:r>
      <w:r w:rsidR="00485D7D">
        <w:t>Be delivery rate, and are well suited for</w:t>
      </w:r>
      <w:r>
        <w:t xml:space="preserve"> assessing </w:t>
      </w:r>
      <w:r w:rsidR="00B944E4">
        <w:t>long-term</w:t>
      </w:r>
      <w:r w:rsidR="00485D7D">
        <w:t xml:space="preserve"> soil loss</w:t>
      </w:r>
      <w:r>
        <w:t xml:space="preserve">, a topic of considerable interest when </w:t>
      </w:r>
      <w:r w:rsidR="00B944E4">
        <w:t>using short</w:t>
      </w:r>
      <w:r w:rsidR="008E3D05">
        <w:t xml:space="preserve">-lived isotopes, which adhere to sediment grains </w:t>
      </w:r>
      <w:r w:rsidR="00485D7D">
        <w:t>in the uppermost 20 cm of soil.</w:t>
      </w:r>
    </w:p>
    <w:p w14:paraId="2C4DBAC9" w14:textId="47053C78" w:rsidR="00485D7D" w:rsidRDefault="00485D7D" w:rsidP="00121483">
      <w:pPr>
        <w:spacing w:line="480" w:lineRule="auto"/>
      </w:pPr>
      <w:r>
        <w:rPr>
          <w:i/>
        </w:rPr>
        <w:t>Results</w:t>
      </w:r>
    </w:p>
    <w:p w14:paraId="2EED9825" w14:textId="1A895195" w:rsidR="00485D7D" w:rsidRDefault="00485D7D" w:rsidP="00121483">
      <w:pPr>
        <w:spacing w:line="480" w:lineRule="auto"/>
      </w:pPr>
      <w:r>
        <w:tab/>
        <w:t>8</w:t>
      </w:r>
      <w:r w:rsidR="004C1076">
        <w:t>8% of erosion indices (n=35) were</w:t>
      </w:r>
      <w:r>
        <w:t xml:space="preserve"> below 1</w:t>
      </w:r>
      <w:r w:rsidR="004C1076">
        <w:t xml:space="preserve"> (i.e. less meteoric </w:t>
      </w:r>
      <w:r w:rsidR="004C1076">
        <w:rPr>
          <w:vertAlign w:val="superscript"/>
        </w:rPr>
        <w:t>10</w:t>
      </w:r>
      <w:r w:rsidR="004C1076">
        <w:t xml:space="preserve">Be is leaving the basin than incident upon it), unsupported </w:t>
      </w:r>
      <w:r w:rsidR="004C1076">
        <w:rPr>
          <w:vertAlign w:val="superscript"/>
        </w:rPr>
        <w:t>210</w:t>
      </w:r>
      <w:r w:rsidR="004C1076">
        <w:t xml:space="preserve">Pb was only present in one sample, and three samples contained </w:t>
      </w:r>
      <w:r w:rsidR="004C1076">
        <w:rPr>
          <w:vertAlign w:val="superscript"/>
        </w:rPr>
        <w:t>137</w:t>
      </w:r>
      <w:r w:rsidR="004C1076">
        <w:t xml:space="preserve">Cs </w:t>
      </w:r>
      <w:r w:rsidR="00990441">
        <w:rPr>
          <w:highlight w:val="yellow"/>
        </w:rPr>
        <w:t>(Figures 3 and 4</w:t>
      </w:r>
      <w:r w:rsidR="004C1076" w:rsidRPr="004C1076">
        <w:rPr>
          <w:highlight w:val="yellow"/>
        </w:rPr>
        <w:t>).</w:t>
      </w:r>
      <w:r w:rsidR="004C1076">
        <w:t xml:space="preserve"> The samples containing measureable levels of short-lived isotopes had relatively low concentrations close to the detection limit of the instrument.</w:t>
      </w:r>
    </w:p>
    <w:p w14:paraId="1D3AA891" w14:textId="5ECB8F3C" w:rsidR="004319D1" w:rsidRDefault="004319D1" w:rsidP="00121483">
      <w:pPr>
        <w:spacing w:line="480" w:lineRule="auto"/>
      </w:pPr>
      <w:r>
        <w:rPr>
          <w:i/>
        </w:rPr>
        <w:t>Interpretation</w:t>
      </w:r>
    </w:p>
    <w:p w14:paraId="2FB31D2A" w14:textId="501D8920" w:rsidR="004319D1" w:rsidRDefault="004319D1" w:rsidP="00121483">
      <w:pPr>
        <w:spacing w:line="480" w:lineRule="auto"/>
      </w:pPr>
      <w:r>
        <w:tab/>
      </w:r>
      <w:r w:rsidR="00E70025">
        <w:t xml:space="preserve">The short-lived isotopes and erosion indices appear to tell differing accounts of erosion in the short versus long term. Low erosion indices suggest relatively slow erosion of the landscape in the long-term (10,000-100,000 </w:t>
      </w:r>
      <w:proofErr w:type="spellStart"/>
      <w:r w:rsidR="00E70025">
        <w:t>yr</w:t>
      </w:r>
      <w:proofErr w:type="spellEnd"/>
      <w:r w:rsidR="00E70025">
        <w:t xml:space="preserve">), where meteoric </w:t>
      </w:r>
      <w:r w:rsidR="00E70025">
        <w:rPr>
          <w:vertAlign w:val="superscript"/>
        </w:rPr>
        <w:t>10</w:t>
      </w:r>
      <w:r w:rsidR="00E70025">
        <w:t>Be is accumulates on the landscape. The absence of short-lived isotopes in almost all samples, and the low values in the few that contain measurable concentrations, indicate that the top 10 to 20 cm of the soil profile that contains the majority</w:t>
      </w:r>
      <w:r w:rsidR="00E70025">
        <w:rPr>
          <w:vertAlign w:val="superscript"/>
        </w:rPr>
        <w:t xml:space="preserve"> 210</w:t>
      </w:r>
      <w:r w:rsidR="00E70025">
        <w:t xml:space="preserve">Pb and </w:t>
      </w:r>
      <w:r w:rsidR="00E70025">
        <w:rPr>
          <w:vertAlign w:val="superscript"/>
        </w:rPr>
        <w:t>137</w:t>
      </w:r>
      <w:r w:rsidR="00E70025">
        <w:t>Cs has already been eroded within the past 300 years, leaving soil depleted in short-lived isotopes.</w:t>
      </w:r>
      <w:r w:rsidR="000437C0">
        <w:t xml:space="preserve"> Based on field observations of land use practices in the region, it is likely that the modern increase in erosion suggested by the short-lived isotope concentrations is the result of human activity on the landscape </w:t>
      </w:r>
      <w:r w:rsidR="00990441">
        <w:rPr>
          <w:highlight w:val="yellow"/>
        </w:rPr>
        <w:t>(Figure 5</w:t>
      </w:r>
      <w:r w:rsidR="000437C0" w:rsidRPr="000437C0">
        <w:rPr>
          <w:highlight w:val="yellow"/>
        </w:rPr>
        <w:t>)</w:t>
      </w:r>
      <w:r w:rsidR="000437C0">
        <w:t xml:space="preserve">. </w:t>
      </w:r>
    </w:p>
    <w:p w14:paraId="69FBE7C9" w14:textId="2DAC4A15" w:rsidR="000437C0" w:rsidRDefault="000437C0" w:rsidP="00121483">
      <w:pPr>
        <w:spacing w:line="480" w:lineRule="auto"/>
      </w:pPr>
      <w:r>
        <w:tab/>
        <w:t xml:space="preserve">An alternative, and potentially coincident, explanation exists for the differences in erosion indices and short-lived isotopes in the sediment grain size being tracked by our methods. Our meteoric </w:t>
      </w:r>
      <w:r>
        <w:rPr>
          <w:vertAlign w:val="superscript"/>
        </w:rPr>
        <w:t>10</w:t>
      </w:r>
      <w:r>
        <w:t xml:space="preserve">Be and short-lived isotope measurements were done on medium sand size sediment (0.250 - 0.850 mm) to ensure we track the same sediment type as </w:t>
      </w:r>
      <w:r>
        <w:rPr>
          <w:i/>
        </w:rPr>
        <w:t>in situ</w:t>
      </w:r>
      <w:r>
        <w:t xml:space="preserve"> </w:t>
      </w:r>
      <w:r>
        <w:rPr>
          <w:vertAlign w:val="superscript"/>
        </w:rPr>
        <w:t>10</w:t>
      </w:r>
      <w:r>
        <w:t xml:space="preserve">Be. Isotopes adhered to the outside of sediment grains, however, differ fundamentally from </w:t>
      </w:r>
      <w:r>
        <w:rPr>
          <w:i/>
        </w:rPr>
        <w:t>in situ</w:t>
      </w:r>
      <w:r>
        <w:t xml:space="preserve"> </w:t>
      </w:r>
      <w:r>
        <w:rPr>
          <w:vertAlign w:val="superscript"/>
        </w:rPr>
        <w:t>10</w:t>
      </w:r>
      <w:r>
        <w:t xml:space="preserve">Be, in that </w:t>
      </w:r>
      <w:r w:rsidR="00F15568">
        <w:t xml:space="preserve">they may exhibit preference for smaller sediment grains with proportionately more surface area for sorption. Our measurements could be missing large portions of the total meteoric and short-lived inventories if the preference for smaller grains is strong. </w:t>
      </w:r>
    </w:p>
    <w:p w14:paraId="042C2C4D" w14:textId="73884105" w:rsidR="00F15568" w:rsidRDefault="00F15568" w:rsidP="00121483">
      <w:pPr>
        <w:spacing w:line="480" w:lineRule="auto"/>
      </w:pPr>
      <w:r>
        <w:tab/>
        <w:t xml:space="preserve">Previous studies have found meteoric </w:t>
      </w:r>
      <w:r>
        <w:rPr>
          <w:vertAlign w:val="superscript"/>
        </w:rPr>
        <w:t>10</w:t>
      </w:r>
      <w:r>
        <w:t xml:space="preserve">Be exhibits a mild preference for smaller </w:t>
      </w:r>
      <w:r w:rsidR="00C4781D">
        <w:t>grains;</w:t>
      </w:r>
      <w:r>
        <w:t xml:space="preserve"> however</w:t>
      </w:r>
      <w:r w:rsidR="00C4781D">
        <w:t>,</w:t>
      </w:r>
      <w:r>
        <w:t xml:space="preserve"> the grain size analysis did not include the smallest grains</w:t>
      </w:r>
      <w:r w:rsidR="00C4781D">
        <w:t xml:space="preserve"> </w:t>
      </w:r>
      <w:r w:rsidR="00C4781D" w:rsidRPr="001844AC">
        <w:rPr>
          <w:highlight w:val="red"/>
        </w:rPr>
        <w:t>(Brown, 1988</w:t>
      </w:r>
      <w:r w:rsidR="00C4781D">
        <w:rPr>
          <w:highlight w:val="red"/>
        </w:rPr>
        <w:t>)</w:t>
      </w:r>
      <w:r>
        <w:t xml:space="preserve">. </w:t>
      </w:r>
      <w:r w:rsidRPr="00C4781D">
        <w:rPr>
          <w:highlight w:val="yellow"/>
        </w:rPr>
        <w:t>This experiment has not been published for short-lived isotopes</w:t>
      </w:r>
      <w:r>
        <w:t xml:space="preserve">. We have designed a basic but comprehensive grain size experiment that will be conducted </w:t>
      </w:r>
      <w:r w:rsidR="00C4781D">
        <w:t xml:space="preserve">in winter 2014 </w:t>
      </w:r>
      <w:r>
        <w:t xml:space="preserve">to determine the relative preferences of meteoric </w:t>
      </w:r>
      <w:r>
        <w:rPr>
          <w:vertAlign w:val="superscript"/>
        </w:rPr>
        <w:t>10</w:t>
      </w:r>
      <w:r>
        <w:t xml:space="preserve">Be, </w:t>
      </w:r>
      <w:r>
        <w:rPr>
          <w:vertAlign w:val="superscript"/>
        </w:rPr>
        <w:t>137</w:t>
      </w:r>
      <w:r>
        <w:t xml:space="preserve">Cs, and </w:t>
      </w:r>
      <w:r>
        <w:rPr>
          <w:vertAlign w:val="superscript"/>
        </w:rPr>
        <w:t>210</w:t>
      </w:r>
      <w:r>
        <w:t xml:space="preserve">Pb for </w:t>
      </w:r>
      <w:r w:rsidR="00385078">
        <w:t>0</w:t>
      </w:r>
      <w:r>
        <w:t>.850</w:t>
      </w:r>
      <w:r w:rsidR="00385078">
        <w:t xml:space="preserve"> </w:t>
      </w:r>
      <w:r>
        <w:t>-</w:t>
      </w:r>
      <w:r w:rsidR="00385078">
        <w:t xml:space="preserve"> 0.250, 0.250 – 0.125, 0.125 – 0.063, and &lt;0.063 mm size fractions.</w:t>
      </w:r>
    </w:p>
    <w:p w14:paraId="5360A3F3" w14:textId="02DB6298" w:rsidR="00385078" w:rsidRDefault="00385078" w:rsidP="00121483">
      <w:pPr>
        <w:spacing w:line="480" w:lineRule="auto"/>
      </w:pPr>
      <w:r>
        <w:tab/>
        <w:t>Knowledge of sorption tendencies of sediment adhered isotopes combined with a more complete dataset consisting of samples taken in basins of varying end-member land-uses will allow us to draw more meaningful conclusions from data collected in spring 2013.</w:t>
      </w:r>
    </w:p>
    <w:p w14:paraId="6B0DC004" w14:textId="1A1C67AD" w:rsidR="00A957DC" w:rsidRPr="00A957DC" w:rsidRDefault="00A957DC" w:rsidP="00121483">
      <w:pPr>
        <w:spacing w:line="480" w:lineRule="auto"/>
        <w:rPr>
          <w:b/>
        </w:rPr>
      </w:pPr>
      <w:r>
        <w:rPr>
          <w:b/>
        </w:rPr>
        <w:t>Time line for completion of work</w:t>
      </w:r>
    </w:p>
    <w:p w14:paraId="62D8A136" w14:textId="77777777" w:rsidR="00FD096C" w:rsidRDefault="00FD096C" w:rsidP="00121483">
      <w:pPr>
        <w:spacing w:line="480" w:lineRule="auto"/>
      </w:pPr>
    </w:p>
    <w:p w14:paraId="2BAD8742" w14:textId="77777777" w:rsidR="00FD096C" w:rsidRDefault="00FD096C" w:rsidP="00121483">
      <w:pPr>
        <w:spacing w:line="480" w:lineRule="auto"/>
      </w:pPr>
    </w:p>
    <w:p w14:paraId="208BF74B" w14:textId="77777777" w:rsidR="00E072C3" w:rsidRDefault="00E072C3" w:rsidP="00E072C3">
      <w:pPr>
        <w:jc w:val="center"/>
      </w:pPr>
      <w:r>
        <w:rPr>
          <w:noProof/>
        </w:rPr>
        <w:drawing>
          <wp:inline distT="0" distB="0" distL="0" distR="0" wp14:anchorId="2F9A88C6" wp14:editId="6C197FC9">
            <wp:extent cx="5950543" cy="444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alFig.jpg"/>
                    <pic:cNvPicPr/>
                  </pic:nvPicPr>
                  <pic:blipFill>
                    <a:blip r:embed="rId8">
                      <a:extLst>
                        <a:ext uri="{28A0092B-C50C-407E-A947-70E740481C1C}">
                          <a14:useLocalDpi xmlns:a14="http://schemas.microsoft.com/office/drawing/2010/main" val="0"/>
                        </a:ext>
                      </a:extLst>
                    </a:blip>
                    <a:stretch>
                      <a:fillRect/>
                    </a:stretch>
                  </pic:blipFill>
                  <pic:spPr>
                    <a:xfrm>
                      <a:off x="0" y="0"/>
                      <a:ext cx="5952911" cy="4446769"/>
                    </a:xfrm>
                    <a:prstGeom prst="rect">
                      <a:avLst/>
                    </a:prstGeom>
                  </pic:spPr>
                </pic:pic>
              </a:graphicData>
            </a:graphic>
          </wp:inline>
        </w:drawing>
      </w:r>
    </w:p>
    <w:p w14:paraId="3B2AC55F" w14:textId="349ABEE8" w:rsidR="00FD096C" w:rsidRDefault="00E072C3" w:rsidP="00E072C3">
      <w:r>
        <w:t xml:space="preserve">Figure 1. </w:t>
      </w:r>
      <w:proofErr w:type="gramStart"/>
      <w:r>
        <w:t>Map of Asia and regional map of study area showing the basins of interest in orange (11, 35, and 49) and the Mekong River in blue.</w:t>
      </w:r>
      <w:proofErr w:type="gramEnd"/>
    </w:p>
    <w:p w14:paraId="2C47FFDB" w14:textId="77777777" w:rsidR="00BC51F3" w:rsidRDefault="00BC51F3"/>
    <w:p w14:paraId="35E27CA6" w14:textId="77777777" w:rsidR="003848C5" w:rsidRDefault="003848C5"/>
    <w:tbl>
      <w:tblPr>
        <w:tblStyle w:val="TableGrid"/>
        <w:tblW w:w="0" w:type="auto"/>
        <w:tblLook w:val="04A0" w:firstRow="1" w:lastRow="0" w:firstColumn="1" w:lastColumn="0" w:noHBand="0" w:noVBand="1"/>
      </w:tblPr>
      <w:tblGrid>
        <w:gridCol w:w="1882"/>
        <w:gridCol w:w="1430"/>
        <w:gridCol w:w="1704"/>
        <w:gridCol w:w="1752"/>
        <w:gridCol w:w="1536"/>
        <w:gridCol w:w="900"/>
      </w:tblGrid>
      <w:tr w:rsidR="003848C5" w14:paraId="4EDEBF4C" w14:textId="77777777" w:rsidTr="00AB402C">
        <w:tc>
          <w:tcPr>
            <w:tcW w:w="1882" w:type="dxa"/>
          </w:tcPr>
          <w:p w14:paraId="4CD4CCA9" w14:textId="77777777" w:rsidR="003848C5" w:rsidRDefault="003848C5" w:rsidP="00AB402C"/>
        </w:tc>
        <w:tc>
          <w:tcPr>
            <w:tcW w:w="1430" w:type="dxa"/>
          </w:tcPr>
          <w:p w14:paraId="1ABC5FDD" w14:textId="77777777" w:rsidR="003848C5" w:rsidRPr="00E457C5" w:rsidRDefault="003848C5" w:rsidP="00AB402C">
            <w:r>
              <w:rPr>
                <w:i/>
              </w:rPr>
              <w:t xml:space="preserve">In situ </w:t>
            </w:r>
            <w:r>
              <w:rPr>
                <w:vertAlign w:val="superscript"/>
              </w:rPr>
              <w:t>10</w:t>
            </w:r>
            <w:r>
              <w:t>Be</w:t>
            </w:r>
          </w:p>
        </w:tc>
        <w:tc>
          <w:tcPr>
            <w:tcW w:w="1704" w:type="dxa"/>
          </w:tcPr>
          <w:p w14:paraId="47B66D6A" w14:textId="77777777" w:rsidR="003848C5" w:rsidRPr="00E457C5" w:rsidRDefault="003848C5" w:rsidP="00AB402C">
            <w:pPr>
              <w:ind w:left="16" w:hanging="16"/>
            </w:pPr>
            <w:r>
              <w:t xml:space="preserve">Meteoric </w:t>
            </w:r>
            <w:r>
              <w:rPr>
                <w:vertAlign w:val="superscript"/>
              </w:rPr>
              <w:t>10</w:t>
            </w:r>
            <w:r>
              <w:t>Be</w:t>
            </w:r>
          </w:p>
        </w:tc>
        <w:tc>
          <w:tcPr>
            <w:tcW w:w="1752" w:type="dxa"/>
          </w:tcPr>
          <w:p w14:paraId="3C9043F7" w14:textId="77777777" w:rsidR="003848C5" w:rsidRPr="00E457C5" w:rsidRDefault="003848C5" w:rsidP="00AB402C">
            <w:r>
              <w:rPr>
                <w:vertAlign w:val="superscript"/>
              </w:rPr>
              <w:t>137</w:t>
            </w:r>
            <w:r>
              <w:t xml:space="preserve">Cs and </w:t>
            </w:r>
            <w:r>
              <w:rPr>
                <w:vertAlign w:val="superscript"/>
              </w:rPr>
              <w:t>210</w:t>
            </w:r>
            <w:r>
              <w:t>Pb</w:t>
            </w:r>
          </w:p>
        </w:tc>
        <w:tc>
          <w:tcPr>
            <w:tcW w:w="1536" w:type="dxa"/>
          </w:tcPr>
          <w:p w14:paraId="058C2703" w14:textId="77777777" w:rsidR="003848C5" w:rsidRDefault="003848C5" w:rsidP="00AB402C">
            <w:r>
              <w:t>Radiocarbon</w:t>
            </w:r>
          </w:p>
        </w:tc>
        <w:tc>
          <w:tcPr>
            <w:tcW w:w="900" w:type="dxa"/>
          </w:tcPr>
          <w:p w14:paraId="6CC14E1E" w14:textId="77777777" w:rsidR="003848C5" w:rsidRPr="00E457C5" w:rsidRDefault="003848C5" w:rsidP="00AB402C">
            <w:pPr>
              <w:rPr>
                <w:b/>
              </w:rPr>
            </w:pPr>
            <w:r>
              <w:rPr>
                <w:b/>
              </w:rPr>
              <w:t>Total</w:t>
            </w:r>
          </w:p>
        </w:tc>
      </w:tr>
      <w:tr w:rsidR="000638C6" w14:paraId="33BCD599" w14:textId="77777777" w:rsidTr="000638C6">
        <w:tc>
          <w:tcPr>
            <w:tcW w:w="1882" w:type="dxa"/>
          </w:tcPr>
          <w:p w14:paraId="525D9DC0" w14:textId="77777777" w:rsidR="000638C6" w:rsidRDefault="000638C6" w:rsidP="00AB402C">
            <w:r>
              <w:t>Active Channel</w:t>
            </w:r>
          </w:p>
        </w:tc>
        <w:tc>
          <w:tcPr>
            <w:tcW w:w="1430" w:type="dxa"/>
          </w:tcPr>
          <w:p w14:paraId="13B28A1B" w14:textId="5E4553E0" w:rsidR="000638C6" w:rsidRDefault="000638C6" w:rsidP="00AB402C">
            <w:r>
              <w:t>58</w:t>
            </w:r>
          </w:p>
        </w:tc>
        <w:tc>
          <w:tcPr>
            <w:tcW w:w="1704" w:type="dxa"/>
          </w:tcPr>
          <w:p w14:paraId="2B97282C" w14:textId="7EDC9469" w:rsidR="000638C6" w:rsidRDefault="000638C6" w:rsidP="00AB402C">
            <w:r>
              <w:t>58</w:t>
            </w:r>
          </w:p>
        </w:tc>
        <w:tc>
          <w:tcPr>
            <w:tcW w:w="1752" w:type="dxa"/>
          </w:tcPr>
          <w:p w14:paraId="7D756E1D" w14:textId="045FB59C" w:rsidR="000638C6" w:rsidRDefault="000638C6" w:rsidP="00AB402C">
            <w:r>
              <w:t>58</w:t>
            </w:r>
          </w:p>
        </w:tc>
        <w:tc>
          <w:tcPr>
            <w:tcW w:w="1536" w:type="dxa"/>
          </w:tcPr>
          <w:p w14:paraId="4A9EA702" w14:textId="7240FC1D" w:rsidR="000638C6" w:rsidRDefault="000638C6" w:rsidP="00AB402C">
            <w:r>
              <w:t>0</w:t>
            </w:r>
          </w:p>
        </w:tc>
        <w:tc>
          <w:tcPr>
            <w:tcW w:w="900" w:type="dxa"/>
          </w:tcPr>
          <w:p w14:paraId="4379D3BD" w14:textId="77777777" w:rsidR="000638C6" w:rsidRDefault="000638C6" w:rsidP="00AB402C">
            <w:r>
              <w:t>174</w:t>
            </w:r>
          </w:p>
        </w:tc>
      </w:tr>
      <w:tr w:rsidR="000638C6" w14:paraId="34A81A8A" w14:textId="77777777" w:rsidTr="000638C6">
        <w:tc>
          <w:tcPr>
            <w:tcW w:w="1882" w:type="dxa"/>
          </w:tcPr>
          <w:p w14:paraId="6E5B238C" w14:textId="77777777" w:rsidR="000638C6" w:rsidRDefault="000638C6" w:rsidP="00AB402C">
            <w:r>
              <w:t>Terrace</w:t>
            </w:r>
          </w:p>
        </w:tc>
        <w:tc>
          <w:tcPr>
            <w:tcW w:w="1430" w:type="dxa"/>
          </w:tcPr>
          <w:p w14:paraId="0CF222DB" w14:textId="10FAFB80" w:rsidR="000638C6" w:rsidRDefault="000638C6" w:rsidP="00AB402C">
            <w:r>
              <w:t>10</w:t>
            </w:r>
          </w:p>
        </w:tc>
        <w:tc>
          <w:tcPr>
            <w:tcW w:w="1704" w:type="dxa"/>
          </w:tcPr>
          <w:p w14:paraId="08F37DC8" w14:textId="3ED3E0C5" w:rsidR="000638C6" w:rsidRDefault="000638C6" w:rsidP="00AB402C">
            <w:r>
              <w:t>0</w:t>
            </w:r>
          </w:p>
        </w:tc>
        <w:tc>
          <w:tcPr>
            <w:tcW w:w="1752" w:type="dxa"/>
          </w:tcPr>
          <w:p w14:paraId="5A09C81F" w14:textId="7781BD67" w:rsidR="000638C6" w:rsidRDefault="000638C6" w:rsidP="00AB402C">
            <w:r>
              <w:t>0</w:t>
            </w:r>
          </w:p>
        </w:tc>
        <w:tc>
          <w:tcPr>
            <w:tcW w:w="1536" w:type="dxa"/>
          </w:tcPr>
          <w:p w14:paraId="2C84C608" w14:textId="49B7A00C" w:rsidR="000638C6" w:rsidRDefault="000638C6" w:rsidP="00AB402C">
            <w:r>
              <w:t>12</w:t>
            </w:r>
          </w:p>
        </w:tc>
        <w:tc>
          <w:tcPr>
            <w:tcW w:w="900" w:type="dxa"/>
          </w:tcPr>
          <w:p w14:paraId="7CADDA99" w14:textId="77777777" w:rsidR="000638C6" w:rsidRDefault="000638C6" w:rsidP="00AB402C">
            <w:r>
              <w:t>22</w:t>
            </w:r>
          </w:p>
        </w:tc>
      </w:tr>
      <w:tr w:rsidR="000638C6" w14:paraId="06894326" w14:textId="77777777" w:rsidTr="000638C6">
        <w:tc>
          <w:tcPr>
            <w:tcW w:w="1882" w:type="dxa"/>
          </w:tcPr>
          <w:p w14:paraId="300EFCD2" w14:textId="77777777" w:rsidR="000638C6" w:rsidRDefault="000638C6" w:rsidP="00AB402C">
            <w:r>
              <w:t>Soil Pit</w:t>
            </w:r>
          </w:p>
        </w:tc>
        <w:tc>
          <w:tcPr>
            <w:tcW w:w="1430" w:type="dxa"/>
          </w:tcPr>
          <w:p w14:paraId="5C5E5E39" w14:textId="10DC63F8" w:rsidR="000638C6" w:rsidRDefault="000638C6" w:rsidP="00AB402C">
            <w:r>
              <w:t>0</w:t>
            </w:r>
          </w:p>
        </w:tc>
        <w:tc>
          <w:tcPr>
            <w:tcW w:w="1704" w:type="dxa"/>
          </w:tcPr>
          <w:p w14:paraId="72A18A01" w14:textId="641B3E3B" w:rsidR="000638C6" w:rsidRDefault="000638C6" w:rsidP="00AB402C">
            <w:r>
              <w:t>7</w:t>
            </w:r>
          </w:p>
        </w:tc>
        <w:tc>
          <w:tcPr>
            <w:tcW w:w="1752" w:type="dxa"/>
          </w:tcPr>
          <w:p w14:paraId="17D5476F" w14:textId="1CA07FDE" w:rsidR="000638C6" w:rsidRDefault="000638C6" w:rsidP="00AB402C">
            <w:r>
              <w:t>7</w:t>
            </w:r>
          </w:p>
        </w:tc>
        <w:tc>
          <w:tcPr>
            <w:tcW w:w="1536" w:type="dxa"/>
          </w:tcPr>
          <w:p w14:paraId="76BB2E56" w14:textId="26FE8C2C" w:rsidR="000638C6" w:rsidRDefault="000638C6" w:rsidP="00AB402C">
            <w:r>
              <w:t>0</w:t>
            </w:r>
          </w:p>
        </w:tc>
        <w:tc>
          <w:tcPr>
            <w:tcW w:w="900" w:type="dxa"/>
          </w:tcPr>
          <w:p w14:paraId="05ED9567" w14:textId="77777777" w:rsidR="000638C6" w:rsidRDefault="000638C6" w:rsidP="00AB402C">
            <w:r>
              <w:t>14</w:t>
            </w:r>
          </w:p>
        </w:tc>
      </w:tr>
      <w:tr w:rsidR="000638C6" w14:paraId="4DF60F2A" w14:textId="77777777" w:rsidTr="000638C6">
        <w:tc>
          <w:tcPr>
            <w:tcW w:w="1882" w:type="dxa"/>
          </w:tcPr>
          <w:p w14:paraId="5AE1BB28" w14:textId="77777777" w:rsidR="000638C6" w:rsidRPr="00E457C5" w:rsidRDefault="000638C6" w:rsidP="00AB402C">
            <w:pPr>
              <w:rPr>
                <w:b/>
              </w:rPr>
            </w:pPr>
            <w:r>
              <w:rPr>
                <w:b/>
              </w:rPr>
              <w:t>Total</w:t>
            </w:r>
          </w:p>
        </w:tc>
        <w:tc>
          <w:tcPr>
            <w:tcW w:w="1430" w:type="dxa"/>
          </w:tcPr>
          <w:p w14:paraId="44AA550C" w14:textId="071E7074" w:rsidR="000638C6" w:rsidRDefault="000638C6" w:rsidP="00AB402C">
            <w:r>
              <w:t>68</w:t>
            </w:r>
          </w:p>
        </w:tc>
        <w:tc>
          <w:tcPr>
            <w:tcW w:w="1704" w:type="dxa"/>
          </w:tcPr>
          <w:p w14:paraId="2EF35EF2" w14:textId="6CB6D5EB" w:rsidR="000638C6" w:rsidRDefault="000638C6" w:rsidP="00AB402C">
            <w:r>
              <w:t>65</w:t>
            </w:r>
          </w:p>
        </w:tc>
        <w:tc>
          <w:tcPr>
            <w:tcW w:w="1752" w:type="dxa"/>
          </w:tcPr>
          <w:p w14:paraId="7009A8F5" w14:textId="095E34E7" w:rsidR="000638C6" w:rsidRDefault="000638C6" w:rsidP="00AB402C">
            <w:r>
              <w:t>65</w:t>
            </w:r>
          </w:p>
        </w:tc>
        <w:tc>
          <w:tcPr>
            <w:tcW w:w="1536" w:type="dxa"/>
          </w:tcPr>
          <w:p w14:paraId="4C7576D0" w14:textId="74AA9887" w:rsidR="000638C6" w:rsidRDefault="000638C6" w:rsidP="00AB402C">
            <w:r>
              <w:t>12</w:t>
            </w:r>
          </w:p>
        </w:tc>
        <w:tc>
          <w:tcPr>
            <w:tcW w:w="900" w:type="dxa"/>
          </w:tcPr>
          <w:p w14:paraId="515BE892" w14:textId="77777777" w:rsidR="000638C6" w:rsidRDefault="000638C6" w:rsidP="00AB402C">
            <w:r>
              <w:t>210</w:t>
            </w:r>
          </w:p>
        </w:tc>
      </w:tr>
    </w:tbl>
    <w:p w14:paraId="500B7659" w14:textId="0F5AA9BC" w:rsidR="00D6019A" w:rsidRDefault="000638C6" w:rsidP="00BA5815">
      <w:r>
        <w:t xml:space="preserve">Table 1. </w:t>
      </w:r>
      <w:r w:rsidR="00BA5815">
        <w:t xml:space="preserve">Total accounting of analysis and sample type. </w:t>
      </w:r>
      <w:r>
        <w:t>Values re</w:t>
      </w:r>
      <w:r w:rsidR="00BA5815">
        <w:t>present measurements to be made, not discrete samples.</w:t>
      </w:r>
      <w:r>
        <w:t xml:space="preserve"> </w:t>
      </w:r>
    </w:p>
    <w:p w14:paraId="7582B247" w14:textId="77777777" w:rsidR="000638C6" w:rsidRDefault="000638C6" w:rsidP="00D6019A">
      <w:pPr>
        <w:spacing w:line="480" w:lineRule="auto"/>
      </w:pPr>
      <w:bookmarkStart w:id="0" w:name="_GoBack"/>
      <w:bookmarkEnd w:id="0"/>
    </w:p>
    <w:p w14:paraId="2EEBAA22" w14:textId="3B2BA73C" w:rsidR="00D6019A" w:rsidRDefault="00D6019A" w:rsidP="00485D7D">
      <w:pPr>
        <w:tabs>
          <w:tab w:val="left" w:pos="-1080"/>
        </w:tabs>
        <w:ind w:left="-270" w:right="-270"/>
        <w:rPr>
          <w:b/>
        </w:rPr>
      </w:pPr>
      <m:oMathPara>
        <m:oMath>
          <m:r>
            <m:rPr>
              <m:sty m:val="bi"/>
            </m:rPr>
            <w:rPr>
              <w:rFonts w:ascii="Cambria Math" w:hAnsi="Cambria Math"/>
            </w:rPr>
            <m:t>Erosion Index=</m:t>
          </m:r>
          <m:f>
            <m:fPr>
              <m:ctrlPr>
                <w:rPr>
                  <w:rFonts w:ascii="Cambria Math" w:hAnsi="Cambria Math"/>
                  <w:b/>
                  <w:i/>
                </w:rPr>
              </m:ctrlPr>
            </m:fPr>
            <m:num>
              <m:r>
                <m:rPr>
                  <m:sty m:val="bi"/>
                </m:rPr>
                <w:rPr>
                  <w:rFonts w:ascii="Cambria Math" w:hAnsi="Cambria Math"/>
                </w:rPr>
                <m:t xml:space="preserve">Meteoric </m:t>
              </m:r>
              <m:r>
                <m:rPr>
                  <m:nor/>
                </m:rPr>
                <w:rPr>
                  <w:rFonts w:ascii="Cambria Math" w:hAnsi="Cambria Math"/>
                  <w:b/>
                  <w:bCs/>
                  <w:vertAlign w:val="superscript"/>
                </w:rPr>
                <m:t>10</m:t>
              </m:r>
              <m:r>
                <m:rPr>
                  <m:nor/>
                </m:rPr>
                <w:rPr>
                  <w:rFonts w:ascii="Cambria Math" w:hAnsi="Cambria Math"/>
                  <w:b/>
                  <w:bCs/>
                </w:rPr>
                <m:t>Be</m:t>
              </m:r>
              <m:r>
                <m:rPr>
                  <m:sty m:val="bi"/>
                </m:rPr>
                <w:rPr>
                  <w:rFonts w:ascii="Cambria Math" w:hAnsi="Cambria Math"/>
                </w:rPr>
                <m:t xml:space="preserve"> leaving basin</m:t>
              </m:r>
            </m:num>
            <m:den>
              <m:r>
                <m:rPr>
                  <m:sty m:val="bi"/>
                </m:rPr>
                <w:rPr>
                  <w:rFonts w:ascii="Cambria Math" w:hAnsi="Cambria Math"/>
                </w:rPr>
                <m:t xml:space="preserve">Meteoric </m:t>
              </m:r>
              <m:r>
                <m:rPr>
                  <m:nor/>
                </m:rPr>
                <w:rPr>
                  <w:rFonts w:ascii="Cambria Math" w:hAnsi="Cambria Math"/>
                  <w:b/>
                  <w:bCs/>
                  <w:vertAlign w:val="superscript"/>
                </w:rPr>
                <m:t>10</m:t>
              </m:r>
              <m:r>
                <m:rPr>
                  <m:nor/>
                </m:rPr>
                <w:rPr>
                  <w:rFonts w:ascii="Cambria Math" w:hAnsi="Cambria Math"/>
                  <w:b/>
                  <w:bCs/>
                </w:rPr>
                <m:t>Be</m:t>
              </m:r>
              <m:r>
                <m:rPr>
                  <m:sty m:val="bi"/>
                </m:rPr>
                <w:rPr>
                  <w:rFonts w:ascii="Cambria Math" w:hAnsi="Cambria Math"/>
                </w:rPr>
                <m:t xml:space="preserve"> delivery</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Sed.</m:t>
              </m:r>
              <m:r>
                <m:rPr>
                  <m:sty m:val="bi"/>
                </m:rPr>
                <w:rPr>
                  <w:rFonts w:ascii="Cambria Math" w:hAnsi="Cambria Math"/>
                </w:rPr>
                <m:t xml:space="preserve"> Yield*</m:t>
              </m:r>
              <m:r>
                <m:rPr>
                  <m:nor/>
                </m:rPr>
                <w:rPr>
                  <w:rFonts w:ascii="Cambria Math" w:hAnsi="Cambria Math"/>
                  <w:b/>
                  <w:bCs/>
                  <w:vertAlign w:val="superscript"/>
                </w:rPr>
                <m:t>10</m:t>
              </m:r>
              <m:r>
                <m:rPr>
                  <m:nor/>
                </m:rPr>
                <w:rPr>
                  <w:rFonts w:ascii="Cambria Math" w:hAnsi="Cambria Math"/>
                  <w:b/>
                  <w:bCs/>
                </w:rPr>
                <m:t>Be</m:t>
              </m:r>
              <m:r>
                <m:rPr>
                  <m:sty m:val="bi"/>
                </m:rPr>
                <w:rPr>
                  <w:rFonts w:ascii="Cambria Math" w:hAnsi="Cambria Math"/>
                </w:rPr>
                <m:t xml:space="preserve"> </m:t>
              </m:r>
              <m:r>
                <m:rPr>
                  <m:sty m:val="bi"/>
                </m:rPr>
                <w:rPr>
                  <w:rFonts w:ascii="Cambria Math" w:hAnsi="Cambria Math"/>
                </w:rPr>
                <m:t>Conc.</m:t>
              </m:r>
              <m:r>
                <m:rPr>
                  <m:sty m:val="bi"/>
                </m:rPr>
                <w:rPr>
                  <w:rFonts w:ascii="Cambria Math" w:hAnsi="Cambria Math"/>
                </w:rPr>
                <m:t xml:space="preserve"> in </m:t>
              </m:r>
              <m:r>
                <m:rPr>
                  <m:sty m:val="bi"/>
                </m:rPr>
                <w:rPr>
                  <w:rFonts w:ascii="Cambria Math" w:hAnsi="Cambria Math"/>
                </w:rPr>
                <m:t>Sed.</m:t>
              </m:r>
            </m:num>
            <m:den>
              <m:r>
                <m:rPr>
                  <m:sty m:val="bi"/>
                </m:rPr>
                <w:rPr>
                  <w:rFonts w:ascii="Cambria Math" w:hAnsi="Cambria Math"/>
                </w:rPr>
                <m:t xml:space="preserve">Meteoric </m:t>
              </m:r>
              <m:r>
                <m:rPr>
                  <m:nor/>
                </m:rPr>
                <w:rPr>
                  <w:rFonts w:ascii="Cambria Math" w:hAnsi="Cambria Math"/>
                  <w:b/>
                  <w:bCs/>
                  <w:vertAlign w:val="superscript"/>
                </w:rPr>
                <m:t>10</m:t>
              </m:r>
              <m:r>
                <m:rPr>
                  <m:nor/>
                </m:rPr>
                <w:rPr>
                  <w:rFonts w:ascii="Cambria Math" w:hAnsi="Cambria Math"/>
                  <w:b/>
                  <w:bCs/>
                </w:rPr>
                <m:t>Be</m:t>
              </m:r>
              <m:r>
                <m:rPr>
                  <m:sty m:val="bi"/>
                </m:rPr>
                <w:rPr>
                  <w:rFonts w:ascii="Cambria Math" w:hAnsi="Cambria Math"/>
                </w:rPr>
                <m:t xml:space="preserve"> Delivery *Basin Area </m:t>
              </m:r>
            </m:den>
          </m:f>
        </m:oMath>
      </m:oMathPara>
    </w:p>
    <w:p w14:paraId="6A516472" w14:textId="77777777" w:rsidR="000638C6" w:rsidRDefault="000638C6" w:rsidP="000638C6"/>
    <w:p w14:paraId="62C8081A" w14:textId="7B5F512E" w:rsidR="00D6019A" w:rsidRPr="000638C6" w:rsidRDefault="000638C6" w:rsidP="000638C6">
      <w:r>
        <w:t xml:space="preserve">Equation 1. Erosion index is the ratio of the amount of meteoric </w:t>
      </w:r>
      <w:r>
        <w:rPr>
          <w:vertAlign w:val="superscript"/>
        </w:rPr>
        <w:t>10</w:t>
      </w:r>
      <w:r>
        <w:t xml:space="preserve">Be leaving a basin on sediment over the estimated atmospheric delivery. Delivery rate was estimated based on an average latitude of ~29 degrees north using </w:t>
      </w:r>
      <w:proofErr w:type="spellStart"/>
      <w:r w:rsidRPr="000638C6">
        <w:rPr>
          <w:highlight w:val="red"/>
        </w:rPr>
        <w:t>Graly</w:t>
      </w:r>
      <w:proofErr w:type="spellEnd"/>
      <w:r w:rsidRPr="000638C6">
        <w:rPr>
          <w:highlight w:val="red"/>
        </w:rPr>
        <w:t xml:space="preserve"> et al., 2011</w:t>
      </w:r>
      <w:r>
        <w:t xml:space="preserve">. Sediment yield was calculated using </w:t>
      </w:r>
      <w:r>
        <w:rPr>
          <w:i/>
        </w:rPr>
        <w:t>in situ</w:t>
      </w:r>
      <w:r>
        <w:t xml:space="preserve"> </w:t>
      </w:r>
      <w:r>
        <w:rPr>
          <w:vertAlign w:val="superscript"/>
        </w:rPr>
        <w:t>10</w:t>
      </w:r>
      <w:r>
        <w:t xml:space="preserve">Be erosion rates calculated by Amanda Schmidt </w:t>
      </w:r>
      <w:r w:rsidRPr="000638C6">
        <w:rPr>
          <w:highlight w:val="red"/>
        </w:rPr>
        <w:t>(</w:t>
      </w:r>
      <w:proofErr w:type="spellStart"/>
      <w:r w:rsidRPr="000638C6">
        <w:rPr>
          <w:highlight w:val="red"/>
        </w:rPr>
        <w:t>Henck</w:t>
      </w:r>
      <w:proofErr w:type="spellEnd"/>
      <w:r w:rsidRPr="000638C6">
        <w:rPr>
          <w:highlight w:val="red"/>
        </w:rPr>
        <w:t xml:space="preserve"> et al., 2011)</w:t>
      </w:r>
      <w:r>
        <w:t>.</w:t>
      </w:r>
    </w:p>
    <w:sectPr w:rsidR="00D6019A" w:rsidRPr="000638C6" w:rsidSect="00BC51F3">
      <w:footnotePr>
        <w:numFmt w:val="chicago"/>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182A1" w14:textId="77777777" w:rsidR="000638C6" w:rsidRDefault="000638C6" w:rsidP="00573BC4">
      <w:r>
        <w:separator/>
      </w:r>
    </w:p>
  </w:endnote>
  <w:endnote w:type="continuationSeparator" w:id="0">
    <w:p w14:paraId="5044A604" w14:textId="77777777" w:rsidR="000638C6" w:rsidRDefault="000638C6" w:rsidP="0057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61FD6" w14:textId="77777777" w:rsidR="000638C6" w:rsidRDefault="000638C6" w:rsidP="00573BC4">
      <w:r>
        <w:separator/>
      </w:r>
    </w:p>
  </w:footnote>
  <w:footnote w:type="continuationSeparator" w:id="0">
    <w:p w14:paraId="64A10A0E" w14:textId="77777777" w:rsidR="000638C6" w:rsidRDefault="000638C6" w:rsidP="00573BC4">
      <w:r>
        <w:continuationSeparator/>
      </w:r>
    </w:p>
  </w:footnote>
  <w:footnote w:id="1">
    <w:p w14:paraId="04C2EB39" w14:textId="13D347F0" w:rsidR="000638C6" w:rsidRDefault="000638C6">
      <w:pPr>
        <w:pStyle w:val="FootnoteText"/>
      </w:pPr>
      <w:r>
        <w:rPr>
          <w:rStyle w:val="FootnoteReference"/>
        </w:rPr>
        <w:footnoteRef/>
      </w:r>
      <w:r>
        <w:t xml:space="preserve"> For a more detailed description of the properties of each isotope that make it useful for studying erosion please refer to my thesis proposal.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15"/>
    <w:rsid w:val="00004C7F"/>
    <w:rsid w:val="000437C0"/>
    <w:rsid w:val="000638C6"/>
    <w:rsid w:val="00116B6E"/>
    <w:rsid w:val="00121483"/>
    <w:rsid w:val="001844AC"/>
    <w:rsid w:val="0027249A"/>
    <w:rsid w:val="002B2CD7"/>
    <w:rsid w:val="002F5137"/>
    <w:rsid w:val="003848C5"/>
    <w:rsid w:val="00385078"/>
    <w:rsid w:val="004319D1"/>
    <w:rsid w:val="00485D7D"/>
    <w:rsid w:val="004C1076"/>
    <w:rsid w:val="00573BC4"/>
    <w:rsid w:val="005B7FC7"/>
    <w:rsid w:val="00753BE8"/>
    <w:rsid w:val="007A5251"/>
    <w:rsid w:val="007A71C0"/>
    <w:rsid w:val="00841996"/>
    <w:rsid w:val="008E3D05"/>
    <w:rsid w:val="00990441"/>
    <w:rsid w:val="00A7472C"/>
    <w:rsid w:val="00A75CE2"/>
    <w:rsid w:val="00A957DC"/>
    <w:rsid w:val="00AB402C"/>
    <w:rsid w:val="00B944E4"/>
    <w:rsid w:val="00BA5815"/>
    <w:rsid w:val="00BC51F3"/>
    <w:rsid w:val="00C4781D"/>
    <w:rsid w:val="00D06A15"/>
    <w:rsid w:val="00D6019A"/>
    <w:rsid w:val="00DB63B4"/>
    <w:rsid w:val="00DC0352"/>
    <w:rsid w:val="00E072C3"/>
    <w:rsid w:val="00E563D3"/>
    <w:rsid w:val="00E70025"/>
    <w:rsid w:val="00EE61A4"/>
    <w:rsid w:val="00F15568"/>
    <w:rsid w:val="00FC6751"/>
    <w:rsid w:val="00FD09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1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1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19A"/>
    <w:rPr>
      <w:rFonts w:ascii="Lucida Grande" w:hAnsi="Lucida Grande" w:cs="Lucida Grande"/>
      <w:sz w:val="18"/>
      <w:szCs w:val="18"/>
    </w:rPr>
  </w:style>
  <w:style w:type="paragraph" w:styleId="FootnoteText">
    <w:name w:val="footnote text"/>
    <w:basedOn w:val="Normal"/>
    <w:link w:val="FootnoteTextChar"/>
    <w:uiPriority w:val="99"/>
    <w:unhideWhenUsed/>
    <w:rsid w:val="00573BC4"/>
  </w:style>
  <w:style w:type="character" w:customStyle="1" w:styleId="FootnoteTextChar">
    <w:name w:val="Footnote Text Char"/>
    <w:basedOn w:val="DefaultParagraphFont"/>
    <w:link w:val="FootnoteText"/>
    <w:uiPriority w:val="99"/>
    <w:rsid w:val="00573BC4"/>
  </w:style>
  <w:style w:type="character" w:styleId="FootnoteReference">
    <w:name w:val="footnote reference"/>
    <w:basedOn w:val="DefaultParagraphFont"/>
    <w:uiPriority w:val="99"/>
    <w:unhideWhenUsed/>
    <w:rsid w:val="00573BC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1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19A"/>
    <w:rPr>
      <w:rFonts w:ascii="Lucida Grande" w:hAnsi="Lucida Grande" w:cs="Lucida Grande"/>
      <w:sz w:val="18"/>
      <w:szCs w:val="18"/>
    </w:rPr>
  </w:style>
  <w:style w:type="paragraph" w:styleId="FootnoteText">
    <w:name w:val="footnote text"/>
    <w:basedOn w:val="Normal"/>
    <w:link w:val="FootnoteTextChar"/>
    <w:uiPriority w:val="99"/>
    <w:unhideWhenUsed/>
    <w:rsid w:val="00573BC4"/>
  </w:style>
  <w:style w:type="character" w:customStyle="1" w:styleId="FootnoteTextChar">
    <w:name w:val="Footnote Text Char"/>
    <w:basedOn w:val="DefaultParagraphFont"/>
    <w:link w:val="FootnoteText"/>
    <w:uiPriority w:val="99"/>
    <w:rsid w:val="00573BC4"/>
  </w:style>
  <w:style w:type="character" w:styleId="FootnoteReference">
    <w:name w:val="footnote reference"/>
    <w:basedOn w:val="DefaultParagraphFont"/>
    <w:uiPriority w:val="99"/>
    <w:unhideWhenUsed/>
    <w:rsid w:val="0057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9228-5525-AD45-AF98-B7DF8322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1406</Words>
  <Characters>8017</Characters>
  <Application>Microsoft Macintosh Word</Application>
  <DocSecurity>0</DocSecurity>
  <Lines>66</Lines>
  <Paragraphs>18</Paragraphs>
  <ScaleCrop>false</ScaleCrop>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Neilson</dc:creator>
  <cp:keywords/>
  <dc:description/>
  <cp:lastModifiedBy>Thomas Neilson</cp:lastModifiedBy>
  <cp:revision>16</cp:revision>
  <dcterms:created xsi:type="dcterms:W3CDTF">2013-11-18T19:31:00Z</dcterms:created>
  <dcterms:modified xsi:type="dcterms:W3CDTF">2013-11-19T14:38:00Z</dcterms:modified>
</cp:coreProperties>
</file>