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B" w:rsidRPr="00B358DD" w:rsidRDefault="0004234B" w:rsidP="0004234B">
      <w:pPr>
        <w:pStyle w:val="Heading1"/>
        <w:spacing w:after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Family Engagement Checklist</w:t>
      </w:r>
      <w:r w:rsidRPr="0094471A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2"/>
        </w:rPr>
        <w:t>Muscott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&amp; Mann, 2004)</w:t>
      </w:r>
    </w:p>
    <w:p w:rsidR="0004234B" w:rsidRPr="00D51C4F" w:rsidRDefault="0004234B" w:rsidP="0004234B">
      <w:pPr>
        <w:pStyle w:val="FootnoteText"/>
        <w:tabs>
          <w:tab w:val="right" w:pos="9360"/>
        </w:tabs>
        <w:ind w:left="270" w:hanging="270"/>
        <w:rPr>
          <w:noProof/>
        </w:rPr>
      </w:pPr>
      <w:r w:rsidRPr="0094471A">
        <w:rPr>
          <w:b/>
          <w:bCs/>
          <w:noProof/>
        </w:rPr>
        <w:t>School</w:t>
      </w:r>
      <w:r w:rsidRPr="0094471A">
        <w:rPr>
          <w:noProof/>
        </w:rPr>
        <w:t>:_________________________________________</w:t>
      </w:r>
      <w:r w:rsidRPr="0094471A">
        <w:rPr>
          <w:b/>
          <w:bCs/>
          <w:noProof/>
        </w:rPr>
        <w:t xml:space="preserve"> Team</w:t>
      </w:r>
      <w:r w:rsidRPr="0094471A">
        <w:rPr>
          <w:noProof/>
        </w:rPr>
        <w:t>:__________________</w:t>
      </w:r>
      <w:r w:rsidRPr="0094471A">
        <w:rPr>
          <w:b/>
          <w:bCs/>
          <w:noProof/>
        </w:rPr>
        <w:t>Date</w:t>
      </w:r>
      <w:r w:rsidRPr="0094471A">
        <w:rPr>
          <w:noProof/>
        </w:rPr>
        <w:t>:___________</w:t>
      </w:r>
    </w:p>
    <w:tbl>
      <w:tblPr>
        <w:tblpPr w:leftFromText="180" w:rightFromText="180" w:vertAnchor="page" w:horzAnchor="page" w:tblpX="1009" w:tblpY="183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948"/>
        <w:gridCol w:w="1512"/>
      </w:tblGrid>
      <w:tr w:rsidR="0004234B" w:rsidTr="0004234B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980" w:type="dxa"/>
            <w:shd w:val="clear" w:color="auto" w:fill="E6E6E6"/>
          </w:tcPr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>In place</w:t>
            </w:r>
          </w:p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>Partially in place</w:t>
            </w:r>
          </w:p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>Not in place</w:t>
            </w:r>
          </w:p>
        </w:tc>
        <w:tc>
          <w:tcPr>
            <w:tcW w:w="6948" w:type="dxa"/>
            <w:shd w:val="clear" w:color="auto" w:fill="E6E6E6"/>
          </w:tcPr>
          <w:p w:rsidR="0004234B" w:rsidRPr="00C71AC8" w:rsidRDefault="0004234B" w:rsidP="0004234B">
            <w:pPr>
              <w:pStyle w:val="Heading4"/>
              <w:jc w:val="center"/>
            </w:pPr>
            <w:r w:rsidRPr="00C71AC8">
              <w:t>TASK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E6E6E6"/>
          </w:tcPr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>PRIORITY:</w:t>
            </w:r>
          </w:p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High </w:t>
            </w:r>
          </w:p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  <w:p w:rsidR="0004234B" w:rsidRDefault="0004234B" w:rsidP="0004234B">
            <w:pPr>
              <w:rPr>
                <w:b/>
                <w:bCs/>
              </w:rPr>
            </w:pPr>
            <w:r>
              <w:rPr>
                <w:b/>
                <w:bCs/>
              </w:rPr>
              <w:t>Low</w:t>
            </w:r>
          </w:p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Climate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1. There is a process for assessing how welcomed, valued, and satisfied parents are in and with the school.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2. There is a plan for addressing ways to help families feel welcomed and valued. 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3. There is a plan for training all staff to work collaboratively and respectfully with families.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4. Plans for addressing ways to help families feel welcomed and valued address diverse families including those with students in the universal, targeted and intensive levels of PBIS.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sz w:val="24"/>
                <w:szCs w:val="24"/>
              </w:rPr>
              <w:t>Parent Involvement in Learning Activities at Home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5. There is a process for assessing parents’ opinions about their own involvement in learning activities at home.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6. There is a plan or set of activities for helping families to support their child’s learning at home.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7. The plan includes activities for helping diverse families, including those with students in the universal, targeted and intensive levels of PBIS, support their child’s learning.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sz w:val="24"/>
                <w:szCs w:val="24"/>
              </w:rPr>
              <w:t>Communication with Parents/Families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8. There is a process for assessing parents’ opinions about how well schools communicate with them.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6948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9. There is a plan for communicating with families in varied and helpful ways.</w:t>
            </w:r>
          </w:p>
        </w:tc>
        <w:tc>
          <w:tcPr>
            <w:tcW w:w="1512" w:type="dxa"/>
            <w:shd w:val="clear" w:color="auto" w:fill="E6E6E6"/>
          </w:tcPr>
          <w:p w:rsidR="0004234B" w:rsidRPr="0094471A" w:rsidRDefault="0004234B" w:rsidP="0004234B"/>
        </w:tc>
      </w:tr>
    </w:tbl>
    <w:p w:rsidR="0004234B" w:rsidRDefault="0004234B" w:rsidP="0004234B">
      <w:pPr>
        <w:pStyle w:val="Heading1"/>
        <w:spacing w:after="0"/>
        <w:jc w:val="center"/>
        <w:rPr>
          <w:rFonts w:ascii="Calibri" w:hAnsi="Calibri" w:cs="Times New Roman"/>
          <w:szCs w:val="22"/>
        </w:rPr>
      </w:pPr>
    </w:p>
    <w:p w:rsidR="0004234B" w:rsidRPr="00B358DD" w:rsidRDefault="0004234B" w:rsidP="0004234B">
      <w:pPr>
        <w:pStyle w:val="Heading1"/>
        <w:spacing w:after="0"/>
        <w:jc w:val="center"/>
        <w:rPr>
          <w:rFonts w:ascii="Calibri" w:hAnsi="Calibri" w:cs="Times New Roman"/>
          <w:szCs w:val="22"/>
        </w:rPr>
      </w:pPr>
      <w:bookmarkStart w:id="0" w:name="_GoBack"/>
      <w:bookmarkEnd w:id="0"/>
      <w:r w:rsidRPr="00B358DD">
        <w:rPr>
          <w:rFonts w:ascii="Calibri" w:hAnsi="Calibri" w:cs="Times New Roman"/>
          <w:szCs w:val="22"/>
        </w:rPr>
        <w:t xml:space="preserve">  </w:t>
      </w:r>
    </w:p>
    <w:p w:rsidR="0004234B" w:rsidRDefault="0004234B" w:rsidP="0004234B">
      <w:pPr>
        <w:jc w:val="center"/>
        <w:rPr>
          <w:rFonts w:ascii="Calibri" w:hAnsi="Calibri"/>
          <w:b/>
          <w:sz w:val="32"/>
        </w:rPr>
      </w:pPr>
    </w:p>
    <w:tbl>
      <w:tblPr>
        <w:tblpPr w:leftFromText="180" w:rightFromText="180" w:horzAnchor="page" w:tblpX="118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20"/>
        <w:gridCol w:w="1440"/>
      </w:tblGrid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10. The plan includes activities for communicating with diverse families, including those with students in the universal, targeted and intensive levels of PBIS, about important school/home matters including discipline.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sz w:val="24"/>
                <w:szCs w:val="24"/>
              </w:rPr>
              <w:t>Parent/Family Involvement at School (Volunteering, Assisting)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11. There is a process for assessing parents’ opinions about how they can support schools through their involvement at school.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12. There is a plan for how parents can be involved in supporting learning at school through volunteering and assisting.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13. The plan for parental involvement in school activities addresses how diverse families, including those with students in the universal, targeted and intensive levels of PBIS, can participate.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sz w:val="24"/>
                <w:szCs w:val="24"/>
              </w:rPr>
              <w:t>Parent/Family Involvement in Decision-Making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14. There is a process for assessing parents’ opinions about the extent to which they are encouraged to participate in decision-making committees and activities (e.g., leadership teams).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15. There is a plan for encouraging and supporting parent participation in decision-making committees and activities.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16. The plan for parental participation in decision-making committees and activities addresses how diverse families, including those with students in the universal, targeted and intensive levels of PBIS, can participate.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17. There is a process for assessing parents’ opinions about the extent to which they can provide input to school personnel about matters of importance including discipline that is taken seriously.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18. There is a plan for gathering and incorporating parents’ input about matters of importance including discipline that is taken seriously.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  <w:tr w:rsidR="0004234B" w:rsidRPr="0094471A" w:rsidTr="0004234B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980" w:type="dxa"/>
            <w:shd w:val="clear" w:color="auto" w:fill="E6E6E6"/>
            <w:vAlign w:val="center"/>
          </w:tcPr>
          <w:p w:rsidR="0004234B" w:rsidRPr="0094471A" w:rsidRDefault="0004234B" w:rsidP="0004234B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</w:pPr>
          </w:p>
        </w:tc>
        <w:tc>
          <w:tcPr>
            <w:tcW w:w="7020" w:type="dxa"/>
            <w:vAlign w:val="center"/>
          </w:tcPr>
          <w:p w:rsidR="0004234B" w:rsidRPr="0094471A" w:rsidRDefault="0004234B" w:rsidP="0004234B">
            <w:pPr>
              <w:pStyle w:val="Heading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19. The plan for gathering and incorporating parents’ input about matters of importance including discipline addresses how diverse families, including those with students in the universal, targeted and intensive levels of </w:t>
            </w:r>
            <w:proofErr w:type="gramStart"/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PBIS,</w:t>
            </w:r>
            <w:proofErr w:type="gramEnd"/>
            <w:r w:rsidRPr="0094471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can be heard.</w:t>
            </w:r>
          </w:p>
        </w:tc>
        <w:tc>
          <w:tcPr>
            <w:tcW w:w="1440" w:type="dxa"/>
            <w:shd w:val="clear" w:color="auto" w:fill="E6E6E6"/>
          </w:tcPr>
          <w:p w:rsidR="0004234B" w:rsidRPr="0094471A" w:rsidRDefault="0004234B" w:rsidP="0004234B"/>
        </w:tc>
      </w:tr>
    </w:tbl>
    <w:p w:rsidR="0004234B" w:rsidRDefault="0004234B" w:rsidP="0004234B">
      <w:pPr>
        <w:jc w:val="center"/>
        <w:rPr>
          <w:rFonts w:ascii="Calibri" w:hAnsi="Calibri"/>
          <w:b/>
          <w:sz w:val="32"/>
        </w:rPr>
      </w:pPr>
    </w:p>
    <w:p w:rsidR="00F504D0" w:rsidRDefault="00F504D0"/>
    <w:sectPr w:rsidR="00F504D0" w:rsidSect="0004234B">
      <w:pgSz w:w="12240" w:h="15840"/>
      <w:pgMar w:top="576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4B"/>
    <w:rsid w:val="0004234B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4B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04234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04234B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04234B"/>
    <w:pPr>
      <w:keepNext/>
      <w:spacing w:before="240" w:after="60"/>
      <w:outlineLvl w:val="3"/>
    </w:pPr>
    <w:rPr>
      <w:rFonts w:eastAsia="ＭＳ 明朝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34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4234B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4234B"/>
    <w:rPr>
      <w:rFonts w:ascii="Cambria" w:eastAsia="ＭＳ 明朝" w:hAnsi="Cambria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04234B"/>
  </w:style>
  <w:style w:type="character" w:customStyle="1" w:styleId="FootnoteTextChar">
    <w:name w:val="Footnote Text Char"/>
    <w:basedOn w:val="DefaultParagraphFont"/>
    <w:link w:val="FootnoteText"/>
    <w:rsid w:val="0004234B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4B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04234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04234B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04234B"/>
    <w:pPr>
      <w:keepNext/>
      <w:spacing w:before="240" w:after="60"/>
      <w:outlineLvl w:val="3"/>
    </w:pPr>
    <w:rPr>
      <w:rFonts w:eastAsia="ＭＳ 明朝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34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4234B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4234B"/>
    <w:rPr>
      <w:rFonts w:ascii="Cambria" w:eastAsia="ＭＳ 明朝" w:hAnsi="Cambria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04234B"/>
  </w:style>
  <w:style w:type="character" w:customStyle="1" w:styleId="FootnoteTextChar">
    <w:name w:val="Footnote Text Char"/>
    <w:basedOn w:val="DefaultParagraphFont"/>
    <w:link w:val="FootnoteText"/>
    <w:rsid w:val="0004234B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Macintosh Word</Application>
  <DocSecurity>0</DocSecurity>
  <Lines>23</Lines>
  <Paragraphs>6</Paragraphs>
  <ScaleCrop>false</ScaleCrop>
  <Company>UVM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2016-06-09T17:46:00Z</dcterms:created>
  <dcterms:modified xsi:type="dcterms:W3CDTF">2016-06-09T17:48:00Z</dcterms:modified>
</cp:coreProperties>
</file>