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7C16" w14:textId="0032DF91" w:rsidR="00583302" w:rsidRPr="00681691" w:rsidRDefault="005A1AE0" w:rsidP="00583302">
      <w:pPr>
        <w:jc w:val="center"/>
      </w:pPr>
      <w:r w:rsidRPr="00681691">
        <w:rPr>
          <w:noProof/>
        </w:rPr>
        <w:drawing>
          <wp:inline distT="0" distB="0" distL="0" distR="0" wp14:anchorId="3AB76EAE" wp14:editId="072AF234">
            <wp:extent cx="3053080" cy="1464310"/>
            <wp:effectExtent l="2540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a:srcRect/>
                    <a:stretch>
                      <a:fillRect/>
                    </a:stretch>
                  </pic:blipFill>
                  <pic:spPr bwMode="auto">
                    <a:xfrm>
                      <a:off x="0" y="0"/>
                      <a:ext cx="3053080" cy="1464310"/>
                    </a:xfrm>
                    <a:prstGeom prst="rect">
                      <a:avLst/>
                    </a:prstGeom>
                    <a:noFill/>
                    <a:ln w="9525">
                      <a:noFill/>
                      <a:miter lim="800000"/>
                      <a:headEnd/>
                      <a:tailEnd/>
                    </a:ln>
                  </pic:spPr>
                </pic:pic>
              </a:graphicData>
            </a:graphic>
          </wp:inline>
        </w:drawing>
      </w:r>
    </w:p>
    <w:p w14:paraId="3131BC5E" w14:textId="77777777" w:rsidR="00743953" w:rsidRPr="005A1AE0" w:rsidRDefault="00743953" w:rsidP="00743953">
      <w:pPr>
        <w:spacing w:line="312" w:lineRule="atLeast"/>
        <w:jc w:val="center"/>
        <w:outlineLvl w:val="0"/>
        <w:rPr>
          <w:spacing w:val="10"/>
          <w:kern w:val="36"/>
          <w:szCs w:val="38"/>
        </w:rPr>
      </w:pPr>
      <w:r w:rsidRPr="005A1AE0">
        <w:rPr>
          <w:spacing w:val="10"/>
          <w:kern w:val="36"/>
          <w:szCs w:val="38"/>
        </w:rPr>
        <w:t>Financial &amp; Physical Planning Committee</w:t>
      </w:r>
    </w:p>
    <w:p w14:paraId="42690D6B" w14:textId="422F83D8" w:rsidR="00583302" w:rsidRPr="005A1AE0" w:rsidRDefault="00583302" w:rsidP="00583302">
      <w:pPr>
        <w:jc w:val="center"/>
        <w:rPr>
          <w:b/>
        </w:rPr>
      </w:pPr>
    </w:p>
    <w:p w14:paraId="533488E7" w14:textId="26B48D07" w:rsidR="00583302" w:rsidRPr="005A1AE0" w:rsidRDefault="00811E82" w:rsidP="00583302">
      <w:pPr>
        <w:jc w:val="center"/>
        <w:rPr>
          <w:b/>
        </w:rPr>
      </w:pPr>
      <w:r>
        <w:t>December</w:t>
      </w:r>
      <w:r w:rsidR="00880636" w:rsidRPr="005A1AE0">
        <w:t xml:space="preserve"> </w:t>
      </w:r>
      <w:r>
        <w:t>3</w:t>
      </w:r>
      <w:r w:rsidR="00B46EBF" w:rsidRPr="005A1AE0">
        <w:t>, 2018</w:t>
      </w:r>
      <w:r w:rsidR="00522B52" w:rsidRPr="005A1AE0">
        <w:t xml:space="preserve"> </w:t>
      </w:r>
      <w:r w:rsidR="00743953" w:rsidRPr="005A1AE0">
        <w:t>2:00 – 3</w:t>
      </w:r>
      <w:r w:rsidR="00B46EBF" w:rsidRPr="005A1AE0">
        <w:t>:30 pm</w:t>
      </w:r>
    </w:p>
    <w:p w14:paraId="2174E741" w14:textId="77777777" w:rsidR="00583302" w:rsidRPr="005A1AE0" w:rsidRDefault="00B46EBF" w:rsidP="00583302">
      <w:pPr>
        <w:jc w:val="center"/>
      </w:pPr>
      <w:r w:rsidRPr="005A1AE0">
        <w:t>Waterman 427A</w:t>
      </w:r>
    </w:p>
    <w:p w14:paraId="1CD85A38" w14:textId="77777777" w:rsidR="00583302" w:rsidRPr="005A1AE0" w:rsidRDefault="00583302" w:rsidP="00583302">
      <w:pPr>
        <w:jc w:val="center"/>
      </w:pPr>
    </w:p>
    <w:p w14:paraId="3309D343" w14:textId="6EC21187" w:rsidR="00583302" w:rsidRPr="005A1AE0" w:rsidRDefault="00AC69F6" w:rsidP="00583302">
      <w:pPr>
        <w:jc w:val="center"/>
        <w:rPr>
          <w:b/>
        </w:rPr>
      </w:pPr>
      <w:r w:rsidRPr="005A1AE0">
        <w:rPr>
          <w:b/>
        </w:rPr>
        <w:t>Minutes</w:t>
      </w:r>
    </w:p>
    <w:p w14:paraId="3A1FBDD3" w14:textId="77777777" w:rsidR="00AC69F6" w:rsidRPr="005A1AE0" w:rsidRDefault="00AC69F6" w:rsidP="00583302">
      <w:pPr>
        <w:jc w:val="center"/>
        <w:rPr>
          <w:b/>
        </w:rPr>
      </w:pPr>
    </w:p>
    <w:p w14:paraId="024DC1D5" w14:textId="5461CAAA" w:rsidR="00AC69F6" w:rsidRPr="00A800CD" w:rsidRDefault="00AC69F6" w:rsidP="00AC69F6">
      <w:r w:rsidRPr="00A800CD">
        <w:rPr>
          <w:b/>
        </w:rPr>
        <w:t xml:space="preserve">Present:  </w:t>
      </w:r>
      <w:r w:rsidR="00811E82" w:rsidRPr="00A800CD">
        <w:t xml:space="preserve">Steven Ades (COM), </w:t>
      </w:r>
      <w:r w:rsidR="001C681B" w:rsidRPr="00A800CD">
        <w:t>Andrew Barnaby (CAS),</w:t>
      </w:r>
      <w:r w:rsidR="00880636" w:rsidRPr="00A800CD">
        <w:t xml:space="preserve"> </w:t>
      </w:r>
      <w:r w:rsidR="00811E82" w:rsidRPr="00A800CD">
        <w:t xml:space="preserve">Bryan Dague (CESS), </w:t>
      </w:r>
      <w:r w:rsidR="00880636" w:rsidRPr="00A800CD">
        <w:t>Terri Donovan (RSENR)</w:t>
      </w:r>
      <w:r w:rsidR="00CD7ECC" w:rsidRPr="00A800CD">
        <w:t>,</w:t>
      </w:r>
      <w:r w:rsidR="00811E82" w:rsidRPr="00A800CD">
        <w:t xml:space="preserve"> Jackie Gillen (GSS), </w:t>
      </w:r>
      <w:r w:rsidR="00CD7ECC" w:rsidRPr="00A800CD">
        <w:t>Joel Goldberg (CAS)</w:t>
      </w:r>
      <w:r w:rsidR="00AE604D" w:rsidRPr="00A800CD">
        <w:t>,</w:t>
      </w:r>
      <w:r w:rsidR="00811E82" w:rsidRPr="00A800CD">
        <w:t xml:space="preserve"> Timothy Higgins (LCOM),</w:t>
      </w:r>
      <w:r w:rsidR="00F22C19" w:rsidRPr="00A800CD">
        <w:t xml:space="preserve"> Charlotte Ma</w:t>
      </w:r>
      <w:r w:rsidR="00CD5134" w:rsidRPr="00A800CD">
        <w:t>ll</w:t>
      </w:r>
      <w:r w:rsidR="00F22C19" w:rsidRPr="00A800CD">
        <w:t>ing (SGA),</w:t>
      </w:r>
      <w:r w:rsidR="00811E82" w:rsidRPr="00A800CD">
        <w:t xml:space="preserve"> Cathy Paris (Faculty Senate President),</w:t>
      </w:r>
      <w:r w:rsidR="00F22C19" w:rsidRPr="00A800CD">
        <w:t xml:space="preserve"> </w:t>
      </w:r>
    </w:p>
    <w:p w14:paraId="5FC938A0" w14:textId="77777777" w:rsidR="00880636" w:rsidRPr="00A800CD" w:rsidRDefault="00880636" w:rsidP="00AC69F6"/>
    <w:p w14:paraId="6DFB6E96" w14:textId="2824355B" w:rsidR="00811E82" w:rsidRPr="00A800CD" w:rsidRDefault="00AC69F6" w:rsidP="00811E82">
      <w:r w:rsidRPr="00A800CD">
        <w:rPr>
          <w:b/>
        </w:rPr>
        <w:t xml:space="preserve">Absent:  </w:t>
      </w:r>
      <w:r w:rsidR="00CD7ECC" w:rsidRPr="00A800CD">
        <w:t xml:space="preserve"> Steven Ades</w:t>
      </w:r>
      <w:r w:rsidR="006225C3" w:rsidRPr="00A800CD">
        <w:t xml:space="preserve"> </w:t>
      </w:r>
      <w:r w:rsidR="00CD7ECC" w:rsidRPr="00A800CD">
        <w:t>(COM)</w:t>
      </w:r>
      <w:r w:rsidR="003F3200" w:rsidRPr="00A800CD">
        <w:t>, Teresa Cahill-Griffin (CNHS)</w:t>
      </w:r>
      <w:r w:rsidR="005A1AE0" w:rsidRPr="00A800CD">
        <w:t>, Laura Gewissler (LIB)</w:t>
      </w:r>
      <w:r w:rsidR="00811E82" w:rsidRPr="00A800CD">
        <w:t>, Joanne Pencak (GSB), Don Ross (CALS)</w:t>
      </w:r>
    </w:p>
    <w:p w14:paraId="7C11B602" w14:textId="21F2783D" w:rsidR="00AC69F6" w:rsidRPr="00A800CD" w:rsidRDefault="005A1AE0" w:rsidP="00AC69F6">
      <w:r w:rsidRPr="00A800CD">
        <w:t xml:space="preserve"> </w:t>
      </w:r>
    </w:p>
    <w:p w14:paraId="4E805C52" w14:textId="77777777" w:rsidR="00AC69F6" w:rsidRPr="00A800CD" w:rsidRDefault="00AC69F6" w:rsidP="00AC69F6"/>
    <w:p w14:paraId="2D628E6E" w14:textId="377BDCBC" w:rsidR="00AC69F6" w:rsidRPr="00A800CD" w:rsidRDefault="00AC69F6" w:rsidP="00AC69F6">
      <w:r w:rsidRPr="00A800CD">
        <w:rPr>
          <w:b/>
        </w:rPr>
        <w:t xml:space="preserve">Guests: </w:t>
      </w:r>
      <w:r w:rsidR="00880636" w:rsidRPr="00A800CD">
        <w:t>Thomas Chittende</w:t>
      </w:r>
      <w:r w:rsidR="006225C3" w:rsidRPr="00A800CD">
        <w:t>n</w:t>
      </w:r>
    </w:p>
    <w:p w14:paraId="57AEF3C2" w14:textId="77777777" w:rsidR="006B499C" w:rsidRPr="00A800CD" w:rsidRDefault="006B499C" w:rsidP="00AC69F6"/>
    <w:p w14:paraId="26276BFE" w14:textId="38FEE73B" w:rsidR="00AC69F6" w:rsidRPr="00A800CD" w:rsidRDefault="002C5ED2" w:rsidP="00AC69F6">
      <w:pPr>
        <w:rPr>
          <w:b/>
        </w:rPr>
      </w:pPr>
      <w:r>
        <w:rPr>
          <w:b/>
          <w:noProof/>
        </w:rPr>
        <w:pict w14:anchorId="7D058E0C">
          <v:rect id="_x0000_i1025" alt="" style="width:540pt;height:.05pt;mso-width-percent:0;mso-height-percent:0;mso-width-percent:0;mso-height-percent:0" o:hralign="center" o:hrstd="t" o:hr="t" fillcolor="#a0a0a0" stroked="f"/>
        </w:pict>
      </w:r>
    </w:p>
    <w:p w14:paraId="1AFA7EAB" w14:textId="3D9BD07A" w:rsidR="00583302" w:rsidRPr="00A800CD" w:rsidRDefault="00AC69F6" w:rsidP="00AC69F6">
      <w:r w:rsidRPr="00A800CD">
        <w:t>The meeting was called to order</w:t>
      </w:r>
      <w:r w:rsidR="00A5553E" w:rsidRPr="00A800CD">
        <w:t xml:space="preserve"> by chair Barnaby</w:t>
      </w:r>
      <w:r w:rsidRPr="00A800CD">
        <w:t xml:space="preserve"> at </w:t>
      </w:r>
      <w:r w:rsidR="00CD7ECC" w:rsidRPr="00A800CD">
        <w:t>2:0</w:t>
      </w:r>
      <w:r w:rsidR="00811E82" w:rsidRPr="00A800CD">
        <w:t>1</w:t>
      </w:r>
      <w:r w:rsidRPr="00A800CD">
        <w:t xml:space="preserve"> pm in Waterman 427A</w:t>
      </w:r>
    </w:p>
    <w:p w14:paraId="0666E7BA" w14:textId="77777777" w:rsidR="00942C68" w:rsidRPr="00A800CD" w:rsidRDefault="00942C68" w:rsidP="00AC69F6"/>
    <w:p w14:paraId="41B1E627" w14:textId="77777777" w:rsidR="00AC69F6" w:rsidRPr="00A800CD" w:rsidRDefault="00AC69F6" w:rsidP="00AC69F6">
      <w:pPr>
        <w:ind w:left="360"/>
      </w:pPr>
    </w:p>
    <w:p w14:paraId="7354570B" w14:textId="4203663A" w:rsidR="006F37DF" w:rsidRPr="00A800CD" w:rsidRDefault="00880636" w:rsidP="006F37DF">
      <w:pPr>
        <w:numPr>
          <w:ilvl w:val="0"/>
          <w:numId w:val="1"/>
        </w:numPr>
        <w:rPr>
          <w:i/>
        </w:rPr>
      </w:pPr>
      <w:r w:rsidRPr="00A800CD">
        <w:rPr>
          <w:b/>
        </w:rPr>
        <w:t xml:space="preserve">Approval of </w:t>
      </w:r>
      <w:r w:rsidR="00811E82" w:rsidRPr="00A800CD">
        <w:rPr>
          <w:b/>
        </w:rPr>
        <w:t>October 15</w:t>
      </w:r>
      <w:r w:rsidR="00811E82" w:rsidRPr="00A800CD">
        <w:rPr>
          <w:b/>
          <w:vertAlign w:val="superscript"/>
        </w:rPr>
        <w:t>th</w:t>
      </w:r>
      <w:r w:rsidR="00811E82" w:rsidRPr="00A800CD">
        <w:rPr>
          <w:b/>
        </w:rPr>
        <w:t xml:space="preserve"> and November</w:t>
      </w:r>
      <w:r w:rsidR="00F44AC7" w:rsidRPr="00A800CD">
        <w:rPr>
          <w:b/>
        </w:rPr>
        <w:t xml:space="preserve"> </w:t>
      </w:r>
      <w:r w:rsidR="00183DEC" w:rsidRPr="00A800CD">
        <w:rPr>
          <w:b/>
        </w:rPr>
        <w:t>5</w:t>
      </w:r>
      <w:r w:rsidR="00942C68" w:rsidRPr="00A800CD">
        <w:rPr>
          <w:b/>
        </w:rPr>
        <w:t>, 2018</w:t>
      </w:r>
      <w:r w:rsidR="00B46EBF" w:rsidRPr="00A800CD">
        <w:rPr>
          <w:b/>
        </w:rPr>
        <w:t xml:space="preserve"> Minutes</w:t>
      </w:r>
      <w:r w:rsidR="00942C68" w:rsidRPr="00A800CD">
        <w:rPr>
          <w:b/>
        </w:rPr>
        <w:t>.</w:t>
      </w:r>
      <w:r w:rsidR="00254070" w:rsidRPr="00A800CD">
        <w:rPr>
          <w:b/>
        </w:rPr>
        <w:t xml:space="preserve"> </w:t>
      </w:r>
      <w:r w:rsidR="00F22C19" w:rsidRPr="00A800CD">
        <w:t xml:space="preserve">The </w:t>
      </w:r>
      <w:r w:rsidR="005A1AE0" w:rsidRPr="00A800CD">
        <w:t xml:space="preserve">minutes of the October </w:t>
      </w:r>
      <w:r w:rsidR="004D31BB" w:rsidRPr="00A800CD">
        <w:t>15</w:t>
      </w:r>
      <w:r w:rsidR="004D31BB" w:rsidRPr="00A800CD">
        <w:rPr>
          <w:vertAlign w:val="superscript"/>
        </w:rPr>
        <w:t>th</w:t>
      </w:r>
      <w:r w:rsidR="004D31BB" w:rsidRPr="00A800CD">
        <w:t xml:space="preserve"> 2018</w:t>
      </w:r>
      <w:r w:rsidR="00811E82" w:rsidRPr="00A800CD">
        <w:t xml:space="preserve"> and November 5, 2018 were approved as written.</w:t>
      </w:r>
    </w:p>
    <w:p w14:paraId="17759817" w14:textId="77777777" w:rsidR="003E1889" w:rsidRPr="00A800CD" w:rsidRDefault="003E1889" w:rsidP="003E1889">
      <w:pPr>
        <w:ind w:left="360"/>
        <w:rPr>
          <w:i/>
        </w:rPr>
      </w:pPr>
    </w:p>
    <w:p w14:paraId="38CD1A77" w14:textId="64FFD3A1" w:rsidR="006F37DF" w:rsidRPr="00A800CD" w:rsidRDefault="006F37DF" w:rsidP="006F37DF">
      <w:pPr>
        <w:numPr>
          <w:ilvl w:val="0"/>
          <w:numId w:val="1"/>
        </w:numPr>
        <w:rPr>
          <w:i/>
        </w:rPr>
      </w:pPr>
      <w:r w:rsidRPr="00A800CD">
        <w:rPr>
          <w:b/>
        </w:rPr>
        <w:t xml:space="preserve">Chair Spring </w:t>
      </w:r>
      <w:r w:rsidR="003E1889" w:rsidRPr="00A800CD">
        <w:rPr>
          <w:b/>
        </w:rPr>
        <w:t>2019.</w:t>
      </w:r>
      <w:r w:rsidR="003E1889" w:rsidRPr="00A800CD">
        <w:rPr>
          <w:i/>
        </w:rPr>
        <w:t xml:space="preserve"> </w:t>
      </w:r>
      <w:r w:rsidR="003E1889" w:rsidRPr="00A800CD">
        <w:t xml:space="preserve">Andrew will be stepping down as the chair of the FPPC. The committee will elect a chair to finish the year. The Faculty Senate Office will send out a call for nominations, then will conduct an electronic election. </w:t>
      </w:r>
    </w:p>
    <w:p w14:paraId="3BE7EA9B" w14:textId="77777777" w:rsidR="00201955" w:rsidRPr="00681691" w:rsidRDefault="00201955" w:rsidP="00201955">
      <w:pPr>
        <w:ind w:left="360"/>
        <w:rPr>
          <w:i/>
        </w:rPr>
      </w:pPr>
    </w:p>
    <w:p w14:paraId="489D31F5" w14:textId="0B15609E" w:rsidR="00134392" w:rsidRPr="006F37DF" w:rsidRDefault="00F22C19" w:rsidP="00683B5A">
      <w:pPr>
        <w:pStyle w:val="NoSpacing"/>
        <w:numPr>
          <w:ilvl w:val="0"/>
          <w:numId w:val="1"/>
        </w:numPr>
        <w:rPr>
          <w:rFonts w:ascii="Times New Roman" w:hAnsi="Times New Roman" w:cs="Times New Roman"/>
          <w:sz w:val="24"/>
          <w:szCs w:val="24"/>
        </w:rPr>
      </w:pPr>
      <w:r w:rsidRPr="00811E82">
        <w:rPr>
          <w:rFonts w:ascii="Times New Roman" w:hAnsi="Times New Roman" w:cs="Times New Roman"/>
          <w:b/>
          <w:sz w:val="24"/>
          <w:szCs w:val="24"/>
        </w:rPr>
        <w:t>First-Year Residential Learning Community Courses</w:t>
      </w:r>
      <w:r w:rsidR="00811E82" w:rsidRPr="00811E82">
        <w:rPr>
          <w:rFonts w:ascii="Times New Roman" w:hAnsi="Times New Roman" w:cs="Times New Roman"/>
          <w:b/>
          <w:sz w:val="24"/>
          <w:szCs w:val="24"/>
        </w:rPr>
        <w:t xml:space="preserve"> Proposals</w:t>
      </w:r>
      <w:r w:rsidRPr="00811E82">
        <w:rPr>
          <w:rFonts w:ascii="Times New Roman" w:hAnsi="Times New Roman" w:cs="Times New Roman"/>
          <w:b/>
          <w:sz w:val="24"/>
          <w:szCs w:val="24"/>
        </w:rPr>
        <w:t xml:space="preserve">. </w:t>
      </w:r>
      <w:r w:rsidR="00A800CD">
        <w:rPr>
          <w:rFonts w:ascii="Times New Roman" w:hAnsi="Times New Roman" w:cs="Times New Roman"/>
          <w:sz w:val="24"/>
          <w:szCs w:val="24"/>
        </w:rPr>
        <w:t>The committee discussed the three proposals.</w:t>
      </w:r>
    </w:p>
    <w:p w14:paraId="0DB9DA23" w14:textId="77777777" w:rsidR="006F37DF" w:rsidRDefault="006F37DF" w:rsidP="006F37DF">
      <w:pPr>
        <w:pStyle w:val="ListParagraph"/>
      </w:pPr>
      <w:bookmarkStart w:id="0" w:name="_GoBack"/>
      <w:bookmarkEnd w:id="0"/>
    </w:p>
    <w:p w14:paraId="2DF21A9A" w14:textId="77777777" w:rsidR="006F37DF" w:rsidRPr="00463A80" w:rsidRDefault="006F37DF" w:rsidP="006F37DF">
      <w:pPr>
        <w:rPr>
          <w:b/>
          <w:u w:val="single"/>
        </w:rPr>
      </w:pPr>
      <w:r w:rsidRPr="00463A80">
        <w:rPr>
          <w:b/>
          <w:u w:val="single"/>
        </w:rPr>
        <w:t>Proposal A</w:t>
      </w:r>
    </w:p>
    <w:p w14:paraId="3BF34E07" w14:textId="77777777" w:rsidR="006F37DF" w:rsidRDefault="006F37DF" w:rsidP="006F37DF">
      <w:pPr>
        <w:rPr>
          <w:b/>
        </w:rPr>
      </w:pPr>
    </w:p>
    <w:p w14:paraId="00053259" w14:textId="77777777" w:rsidR="006F37DF" w:rsidRDefault="006F37DF" w:rsidP="006F37DF">
      <w:r>
        <w:t>1. All courses taught through as part of Residential Learning Communities will be 1-credit courses. Two exceptions:</w:t>
      </w:r>
    </w:p>
    <w:p w14:paraId="62691E9A" w14:textId="77777777" w:rsidR="006F37DF" w:rsidRDefault="006F37DF" w:rsidP="006F37DF">
      <w:pPr>
        <w:ind w:left="720"/>
      </w:pPr>
      <w:r>
        <w:t>a) courses taught in the Honors College</w:t>
      </w:r>
    </w:p>
    <w:p w14:paraId="75C7E278" w14:textId="77777777" w:rsidR="006F37DF" w:rsidRDefault="006F37DF" w:rsidP="006F37DF">
      <w:pPr>
        <w:ind w:left="720"/>
      </w:pPr>
      <w:r>
        <w:t>b) courses taught as part of learning communities that for the most part aim to enroll students from just a single college (e.g. Dean’s Signature programs in CAS)</w:t>
      </w:r>
    </w:p>
    <w:p w14:paraId="10480C35" w14:textId="77777777" w:rsidR="006F37DF" w:rsidRDefault="006F37DF" w:rsidP="006F37DF"/>
    <w:p w14:paraId="37091569" w14:textId="77777777" w:rsidR="006F37DF" w:rsidRPr="006143A7" w:rsidRDefault="006F37DF" w:rsidP="006F37DF">
      <w:r>
        <w:t>2. student credit hour (or multiplier) for all such courses will be weighted at 1.3</w:t>
      </w:r>
    </w:p>
    <w:p w14:paraId="728733E9" w14:textId="77777777" w:rsidR="006F37DF" w:rsidRDefault="006F37DF" w:rsidP="006F37DF">
      <w:pPr>
        <w:rPr>
          <w:b/>
        </w:rPr>
      </w:pPr>
    </w:p>
    <w:p w14:paraId="47DF5885" w14:textId="77777777" w:rsidR="006F37DF" w:rsidRDefault="006F37DF" w:rsidP="006F37DF">
      <w:pPr>
        <w:rPr>
          <w:b/>
        </w:rPr>
      </w:pPr>
    </w:p>
    <w:p w14:paraId="5E53CF4A" w14:textId="77777777" w:rsidR="006F37DF" w:rsidRPr="00463A80" w:rsidRDefault="006F37DF" w:rsidP="006F37DF">
      <w:pPr>
        <w:rPr>
          <w:b/>
          <w:u w:val="single"/>
        </w:rPr>
      </w:pPr>
      <w:r w:rsidRPr="00463A80">
        <w:rPr>
          <w:b/>
          <w:u w:val="single"/>
        </w:rPr>
        <w:t>Proposal B</w:t>
      </w:r>
    </w:p>
    <w:p w14:paraId="50443614" w14:textId="77777777" w:rsidR="006F37DF" w:rsidRDefault="006F37DF" w:rsidP="006F37DF"/>
    <w:p w14:paraId="63DB8231" w14:textId="77777777" w:rsidR="006F37DF" w:rsidRDefault="006F37DF" w:rsidP="006F37DF">
      <w:r>
        <w:t>1. All the algorithm 1 revenue generated by the teaching of courses as part of the Residential Learning Communities (RLCs) will be pooled in a single fund (for two exceptions, see Proposal A.1). That fund will be administered by Residential Life (RL</w:t>
      </w:r>
      <w:proofErr w:type="gramStart"/>
      <w:r>
        <w:t>).*</w:t>
      </w:r>
      <w:proofErr w:type="gramEnd"/>
      <w:r>
        <w:t>*</w:t>
      </w:r>
    </w:p>
    <w:p w14:paraId="771E8556" w14:textId="77777777" w:rsidR="006F37DF" w:rsidRDefault="006F37DF" w:rsidP="006F37DF"/>
    <w:p w14:paraId="68EE37E4" w14:textId="77777777" w:rsidR="006F37DF" w:rsidRDefault="006F37DF" w:rsidP="006F37DF">
      <w:r>
        <w:t>* Note: this means that the money will not be allocated through the normal algorithm 1 methodology, which would distribute funds from undergraduate net tuition to the degree-granting colleges (Responsibility Centers or RCs).</w:t>
      </w:r>
    </w:p>
    <w:p w14:paraId="15E30537" w14:textId="77777777" w:rsidR="006F37DF" w:rsidRDefault="006F37DF" w:rsidP="006F37DF">
      <w:r>
        <w:t>** There needs to be a FYE committee set up with oversight authority over this money.</w:t>
      </w:r>
    </w:p>
    <w:p w14:paraId="414BCB39" w14:textId="77777777" w:rsidR="006F37DF" w:rsidRDefault="006F37DF" w:rsidP="006F37DF"/>
    <w:p w14:paraId="13C0250C" w14:textId="77777777" w:rsidR="006F37DF" w:rsidRDefault="006F37DF" w:rsidP="006F37DF">
      <w:r>
        <w:t>2. RL will distribute 80% the money* in that fund equally to each RLC. This distribution could either be a fixed dollar amount per student enrolled in the RLC or fixed dollar amount per RLC + a fixed dollar amount per student.</w:t>
      </w:r>
    </w:p>
    <w:p w14:paraId="4D5A00F2" w14:textId="77777777" w:rsidR="006F37DF" w:rsidRDefault="006F37DF" w:rsidP="006F37DF"/>
    <w:p w14:paraId="10E3179D" w14:textId="77777777" w:rsidR="006F37DF" w:rsidRDefault="006F37DF" w:rsidP="006F37DF">
      <w:r>
        <w:t>* This is just an example; the percentage could be higher or lower.</w:t>
      </w:r>
    </w:p>
    <w:p w14:paraId="730D9163" w14:textId="77777777" w:rsidR="006F37DF" w:rsidRDefault="006F37DF" w:rsidP="006F37DF"/>
    <w:p w14:paraId="6A8F7B5F" w14:textId="77777777" w:rsidR="006F37DF" w:rsidRDefault="006F37DF" w:rsidP="006F37DF">
      <w:r>
        <w:t>3. The remainder of the money in the fund (20%*) will be distributed equally to the sponsoring RCs of the various RLCs to help cover costs associated with that sponsorship.</w:t>
      </w:r>
      <w:r w:rsidRPr="00463A80">
        <w:t xml:space="preserve"> </w:t>
      </w:r>
      <w:r>
        <w:t>This distribution could either be a fixed dollar amount per student enrolled in the RLC or fixed dollar amount per RLC + a fixed dollar amount per student.</w:t>
      </w:r>
    </w:p>
    <w:p w14:paraId="1D7CE7D2" w14:textId="77777777" w:rsidR="006F37DF" w:rsidRDefault="006F37DF" w:rsidP="006F37DF"/>
    <w:p w14:paraId="5BD623E0" w14:textId="77777777" w:rsidR="006F37DF" w:rsidRDefault="006F37DF" w:rsidP="006F37DF">
      <w:r>
        <w:t>* This is just an example; the percentage could be higher or lower.</w:t>
      </w:r>
    </w:p>
    <w:p w14:paraId="412B383E" w14:textId="77777777" w:rsidR="006F37DF" w:rsidRDefault="006F37DF" w:rsidP="006F37DF">
      <w:pPr>
        <w:rPr>
          <w:b/>
        </w:rPr>
      </w:pPr>
    </w:p>
    <w:p w14:paraId="321983A2" w14:textId="77777777" w:rsidR="006F37DF" w:rsidRPr="00463A80" w:rsidRDefault="006F37DF" w:rsidP="006F37DF">
      <w:pPr>
        <w:rPr>
          <w:b/>
          <w:u w:val="single"/>
        </w:rPr>
      </w:pPr>
      <w:r w:rsidRPr="00463A80">
        <w:rPr>
          <w:b/>
          <w:u w:val="single"/>
        </w:rPr>
        <w:t>Proposal C</w:t>
      </w:r>
    </w:p>
    <w:p w14:paraId="17DBA0EA" w14:textId="77777777" w:rsidR="006F37DF" w:rsidRDefault="006F37DF" w:rsidP="006F37DF"/>
    <w:p w14:paraId="5FB8FA49" w14:textId="77777777" w:rsidR="006F37DF" w:rsidRDefault="006F37DF" w:rsidP="006F37DF">
      <w:r>
        <w:t>1. Responsibility Centers (RCs) receive revenue at the value of ONE student credit hour (SCH) for every first-time / first-year (FTFY) student who enrolls in that unit. Under the IBB model, this revenue is generated by all the students signing up for a 1-credit course “offered” in the unit in which they are enrolled in their first semester at UVM.</w:t>
      </w:r>
    </w:p>
    <w:p w14:paraId="5666B515" w14:textId="77777777" w:rsidR="006F37DF" w:rsidRDefault="006F37DF" w:rsidP="006F37DF"/>
    <w:p w14:paraId="3D3DDC6B" w14:textId="77777777" w:rsidR="006F37DF" w:rsidRDefault="006F37DF" w:rsidP="006F37DF">
      <w:r>
        <w:t xml:space="preserve">2. Of that revenue, the RCs are assessed at a rate of 60%* (e.g. $300 of $500); that money is directed to Residential Life (RL) as a “student </w:t>
      </w:r>
      <w:proofErr w:type="gramStart"/>
      <w:r>
        <w:t>fee”*</w:t>
      </w:r>
      <w:proofErr w:type="gramEnd"/>
      <w:r>
        <w:t>*.</w:t>
      </w:r>
    </w:p>
    <w:p w14:paraId="093DBD08" w14:textId="77777777" w:rsidR="006F37DF" w:rsidRDefault="006F37DF" w:rsidP="006F37DF"/>
    <w:p w14:paraId="20898C50" w14:textId="77777777" w:rsidR="006F37DF" w:rsidRDefault="006F37DF" w:rsidP="006F37DF">
      <w:r>
        <w:t>* This is just an example; the percentage could be higher or lower.</w:t>
      </w:r>
    </w:p>
    <w:p w14:paraId="57D89993" w14:textId="77777777" w:rsidR="006F37DF" w:rsidRDefault="006F37DF" w:rsidP="006F37DF">
      <w:r>
        <w:t>** There needs to be a FYE committee set up with oversight authority over this money.</w:t>
      </w:r>
    </w:p>
    <w:p w14:paraId="2B88854E" w14:textId="77777777" w:rsidR="006F37DF" w:rsidRDefault="006F37DF" w:rsidP="006F37DF"/>
    <w:p w14:paraId="2F6EC034" w14:textId="77777777" w:rsidR="006F37DF" w:rsidRDefault="006F37DF" w:rsidP="006F37DF">
      <w:r>
        <w:t>3. RL allocates two-thirds* of its funds** to the RCs offering Residential Learning Communities (RLC) -affiliated courses with the understanding that the RCs will use the funds in support of instruction and associated programming in the RLCs. For the two exceptions***, see Proposal A.1.</w:t>
      </w:r>
    </w:p>
    <w:p w14:paraId="46D04D94" w14:textId="77777777" w:rsidR="006F37DF" w:rsidRDefault="006F37DF" w:rsidP="006F37DF"/>
    <w:p w14:paraId="403CF391" w14:textId="77777777" w:rsidR="006F37DF" w:rsidRDefault="006F37DF" w:rsidP="006F37DF">
      <w:r>
        <w:t>* This is an estimate (amount could be higher or lower). But based on the example above, $200 of the original $500 would be allocated by this method.</w:t>
      </w:r>
    </w:p>
    <w:p w14:paraId="7D58E27B" w14:textId="77777777" w:rsidR="006F37DF" w:rsidRDefault="006F37DF" w:rsidP="006F37DF">
      <w:r>
        <w:t>** The money should be allocated so that each RLC roughly gets the same $/student. This could either be a fixed dollar amount per student enrolled in the RLC or fixed dollar amount per RLC + a fixed dollar amount per student.</w:t>
      </w:r>
    </w:p>
    <w:p w14:paraId="55F57C99" w14:textId="77777777" w:rsidR="006F37DF" w:rsidRDefault="006F37DF" w:rsidP="006F37DF">
      <w:r>
        <w:t>*** The Honors College (HC) is not included because it is not an RC (and it is funded as a Support Center). But students enrolled in the HC would still be included in the headcount for the purposes of setting the revenue for FTFY students per RC.</w:t>
      </w:r>
    </w:p>
    <w:p w14:paraId="45B9D36C" w14:textId="77777777" w:rsidR="006F37DF" w:rsidRDefault="006F37DF" w:rsidP="006F37DF"/>
    <w:p w14:paraId="04F0A7E9" w14:textId="77777777" w:rsidR="006F37DF" w:rsidRDefault="006F37DF" w:rsidP="006F37DF">
      <w:r>
        <w:t xml:space="preserve">4. Whatever else an RLC does by way of programming, it will offer a 0-credit (or non-credit bearing) course to students who join it. The course will be graded pass/fail. </w:t>
      </w:r>
    </w:p>
    <w:p w14:paraId="1F6648AC" w14:textId="77777777" w:rsidR="006F37DF" w:rsidRDefault="006F37DF" w:rsidP="006F37DF"/>
    <w:p w14:paraId="31FEBCB6" w14:textId="77777777" w:rsidR="006F37DF" w:rsidRDefault="006F37DF" w:rsidP="006F37DF">
      <w:r>
        <w:lastRenderedPageBreak/>
        <w:t>5. The remaining one-third* of the funds directed to RL will be used to support general programming / staffing covering all the RLCs.</w:t>
      </w:r>
    </w:p>
    <w:p w14:paraId="149A5DDF" w14:textId="77777777" w:rsidR="006F37DF" w:rsidRDefault="006F37DF" w:rsidP="006F37DF"/>
    <w:p w14:paraId="010FFFFE" w14:textId="77777777" w:rsidR="006F37DF" w:rsidRDefault="006F37DF" w:rsidP="006F37DF">
      <w:r>
        <w:t>* This is an estimate (amount could be higher or lower).</w:t>
      </w:r>
      <w:r w:rsidRPr="00135EB1">
        <w:t xml:space="preserve"> </w:t>
      </w:r>
      <w:r>
        <w:t>But based on the example above, $100 of the original $500 would be allocated by this method.</w:t>
      </w:r>
    </w:p>
    <w:p w14:paraId="5DDC6DCA" w14:textId="77777777" w:rsidR="006F37DF" w:rsidRDefault="006F37DF" w:rsidP="006F37DF"/>
    <w:p w14:paraId="6C6CD944" w14:textId="77777777" w:rsidR="006F37DF" w:rsidRDefault="006F37DF" w:rsidP="006F37DF">
      <w:r>
        <w:t>6. The portion of the original revenue not directed from RCs to RL (in example above, $200 of $500) would be used to support FTFY students who do not enroll in an RLC. As more students enroll in RLCs, this number should go down until it gets close to zero (at least, that would be the desired outcome).</w:t>
      </w:r>
    </w:p>
    <w:p w14:paraId="26D7E6D0" w14:textId="77777777" w:rsidR="006F37DF" w:rsidRDefault="006F37DF" w:rsidP="006F37DF"/>
    <w:p w14:paraId="6C76341B" w14:textId="0956AD70" w:rsidR="006F37DF" w:rsidRPr="00811E82" w:rsidRDefault="00A800CD" w:rsidP="006F37DF">
      <w:pPr>
        <w:pStyle w:val="NoSpacing"/>
        <w:ind w:left="360"/>
        <w:rPr>
          <w:rFonts w:ascii="Times New Roman" w:hAnsi="Times New Roman" w:cs="Times New Roman"/>
          <w:sz w:val="24"/>
          <w:szCs w:val="24"/>
        </w:rPr>
      </w:pPr>
      <w:r>
        <w:rPr>
          <w:rFonts w:ascii="Times New Roman" w:hAnsi="Times New Roman" w:cs="Times New Roman"/>
          <w:sz w:val="24"/>
          <w:szCs w:val="24"/>
        </w:rPr>
        <w:t>The committee will continue conversations via e-mail and will bring a proposal to the Faculty Senate Executive meeting in December with the intention of presenting at the December Faculty Senate meeting.</w:t>
      </w:r>
    </w:p>
    <w:p w14:paraId="2DF54337" w14:textId="0190BD90" w:rsidR="00F14A97" w:rsidRPr="00811E82" w:rsidRDefault="008F549B" w:rsidP="00811E82">
      <w:pPr>
        <w:rPr>
          <w:rFonts w:cs="Helvetica Neue"/>
          <w:sz w:val="22"/>
        </w:rPr>
      </w:pPr>
      <w:r w:rsidRPr="00811E82">
        <w:rPr>
          <w:rFonts w:cs="Helvetica Neue"/>
          <w:sz w:val="22"/>
        </w:rPr>
        <w:t xml:space="preserve"> </w:t>
      </w:r>
    </w:p>
    <w:p w14:paraId="320C3016" w14:textId="4249FF88" w:rsidR="00942C68" w:rsidRPr="00F44AC7" w:rsidRDefault="00F44AC7" w:rsidP="00942C68">
      <w:pPr>
        <w:pStyle w:val="ListParagraph"/>
        <w:numPr>
          <w:ilvl w:val="0"/>
          <w:numId w:val="1"/>
        </w:numPr>
        <w:rPr>
          <w:b/>
        </w:rPr>
      </w:pPr>
      <w:r w:rsidRPr="00F44AC7">
        <w:rPr>
          <w:b/>
        </w:rPr>
        <w:t>Ne</w:t>
      </w:r>
      <w:r w:rsidR="00BC34AB" w:rsidRPr="00F44AC7">
        <w:rPr>
          <w:b/>
        </w:rPr>
        <w:t xml:space="preserve">w business. </w:t>
      </w:r>
      <w:r w:rsidR="008F549B" w:rsidRPr="008F549B">
        <w:t xml:space="preserve">There was no new business at this time. </w:t>
      </w:r>
    </w:p>
    <w:p w14:paraId="36CC65D6" w14:textId="77777777" w:rsidR="005342CF" w:rsidRPr="005342CF" w:rsidRDefault="005342CF" w:rsidP="00942C68">
      <w:pPr>
        <w:pStyle w:val="ListParagraph"/>
        <w:ind w:left="360"/>
        <w:rPr>
          <w:b/>
        </w:rPr>
      </w:pPr>
    </w:p>
    <w:p w14:paraId="0CE5A88E" w14:textId="0A290E33" w:rsidR="00583302" w:rsidRPr="00681691" w:rsidRDefault="00B46EBF" w:rsidP="00E912DC">
      <w:pPr>
        <w:pStyle w:val="ListParagraph"/>
        <w:numPr>
          <w:ilvl w:val="0"/>
          <w:numId w:val="1"/>
        </w:numPr>
      </w:pPr>
      <w:r w:rsidRPr="00681691">
        <w:t>Adjourn</w:t>
      </w:r>
      <w:r w:rsidR="00942C68" w:rsidRPr="00681691">
        <w:t xml:space="preserve"> 3:30pm</w:t>
      </w:r>
    </w:p>
    <w:p w14:paraId="618005FB" w14:textId="77777777" w:rsidR="00583302" w:rsidRPr="00681691" w:rsidRDefault="00583302" w:rsidP="00583302">
      <w:pPr>
        <w:rPr>
          <w:i/>
          <w:sz w:val="20"/>
          <w:szCs w:val="20"/>
        </w:rPr>
      </w:pPr>
    </w:p>
    <w:p w14:paraId="07726972" w14:textId="77777777" w:rsidR="00583302" w:rsidRPr="00681691" w:rsidRDefault="00583302" w:rsidP="00583302">
      <w:pPr>
        <w:rPr>
          <w:i/>
          <w:sz w:val="20"/>
          <w:szCs w:val="20"/>
        </w:rPr>
      </w:pPr>
    </w:p>
    <w:p w14:paraId="4B43E62C" w14:textId="04C34C79" w:rsidR="00583302" w:rsidRDefault="006B499C" w:rsidP="00583302">
      <w:pPr>
        <w:rPr>
          <w:i/>
          <w:sz w:val="20"/>
          <w:szCs w:val="20"/>
        </w:rPr>
      </w:pPr>
      <w:r>
        <w:rPr>
          <w:i/>
          <w:sz w:val="20"/>
          <w:szCs w:val="20"/>
        </w:rPr>
        <w:br/>
      </w:r>
    </w:p>
    <w:p w14:paraId="1E6B3D31" w14:textId="77777777" w:rsidR="006B499C" w:rsidRPr="00681691" w:rsidRDefault="006B499C" w:rsidP="00583302">
      <w:pPr>
        <w:rPr>
          <w:i/>
          <w:sz w:val="20"/>
          <w:szCs w:val="20"/>
        </w:rPr>
      </w:pPr>
    </w:p>
    <w:tbl>
      <w:tblPr>
        <w:tblW w:w="0" w:type="auto"/>
        <w:tblInd w:w="-38" w:type="dxa"/>
        <w:tblLayout w:type="fixed"/>
        <w:tblCellMar>
          <w:left w:w="30" w:type="dxa"/>
          <w:right w:w="30" w:type="dxa"/>
        </w:tblCellMar>
        <w:tblLook w:val="0000" w:firstRow="0" w:lastRow="0" w:firstColumn="0" w:lastColumn="0" w:noHBand="0" w:noVBand="0"/>
      </w:tblPr>
      <w:tblGrid>
        <w:gridCol w:w="2240"/>
        <w:gridCol w:w="1380"/>
      </w:tblGrid>
      <w:tr w:rsidR="006B499C" w14:paraId="50623520"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F2A8741" w14:textId="77777777" w:rsidR="006B499C" w:rsidRDefault="006B499C">
            <w:pPr>
              <w:autoSpaceDE w:val="0"/>
              <w:autoSpaceDN w:val="0"/>
              <w:adjustRightInd w:val="0"/>
              <w:jc w:val="center"/>
              <w:rPr>
                <w:rFonts w:ascii="Calibri" w:hAnsi="Calibri" w:cs="Calibri"/>
                <w:b/>
                <w:bCs/>
                <w:color w:val="339966"/>
              </w:rPr>
            </w:pPr>
            <w:r>
              <w:rPr>
                <w:rFonts w:ascii="Calibri" w:hAnsi="Calibri" w:cs="Calibri"/>
                <w:b/>
                <w:bCs/>
                <w:color w:val="339966"/>
              </w:rPr>
              <w:t>FPPC</w:t>
            </w:r>
          </w:p>
        </w:tc>
        <w:tc>
          <w:tcPr>
            <w:tcW w:w="1380" w:type="dxa"/>
            <w:tcBorders>
              <w:top w:val="nil"/>
              <w:left w:val="nil"/>
              <w:bottom w:val="nil"/>
              <w:right w:val="nil"/>
            </w:tcBorders>
            <w:shd w:val="solid" w:color="FFFFFF" w:fill="auto"/>
          </w:tcPr>
          <w:p w14:paraId="6D938BAC" w14:textId="77777777" w:rsidR="006B499C" w:rsidRDefault="006B499C">
            <w:pPr>
              <w:autoSpaceDE w:val="0"/>
              <w:autoSpaceDN w:val="0"/>
              <w:adjustRightInd w:val="0"/>
              <w:jc w:val="right"/>
              <w:rPr>
                <w:rFonts w:ascii="Calibri" w:hAnsi="Calibri" w:cs="Calibri"/>
                <w:color w:val="000000"/>
                <w:sz w:val="22"/>
                <w:szCs w:val="22"/>
              </w:rPr>
            </w:pPr>
          </w:p>
        </w:tc>
      </w:tr>
      <w:tr w:rsidR="006B499C" w14:paraId="6245AF01"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629CFF57"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Monday</w:t>
            </w:r>
          </w:p>
        </w:tc>
        <w:tc>
          <w:tcPr>
            <w:tcW w:w="1380" w:type="dxa"/>
            <w:tcBorders>
              <w:top w:val="nil"/>
              <w:left w:val="nil"/>
              <w:bottom w:val="nil"/>
              <w:right w:val="nil"/>
            </w:tcBorders>
            <w:shd w:val="solid" w:color="FFFFFF" w:fill="auto"/>
          </w:tcPr>
          <w:p w14:paraId="3BFC89F7" w14:textId="77777777" w:rsidR="006B499C" w:rsidRDefault="006B499C">
            <w:pPr>
              <w:autoSpaceDE w:val="0"/>
              <w:autoSpaceDN w:val="0"/>
              <w:adjustRightInd w:val="0"/>
              <w:jc w:val="right"/>
              <w:rPr>
                <w:rFonts w:ascii="Calibri" w:hAnsi="Calibri" w:cs="Calibri"/>
                <w:color w:val="000000"/>
                <w:sz w:val="22"/>
                <w:szCs w:val="22"/>
              </w:rPr>
            </w:pPr>
          </w:p>
        </w:tc>
      </w:tr>
      <w:tr w:rsidR="006B499C" w14:paraId="225D7A1D"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2657B73F" w14:textId="77777777" w:rsidR="006B499C" w:rsidRDefault="006B499C">
            <w:pPr>
              <w:autoSpaceDE w:val="0"/>
              <w:autoSpaceDN w:val="0"/>
              <w:adjustRightInd w:val="0"/>
              <w:jc w:val="center"/>
              <w:rPr>
                <w:rFonts w:ascii="Calibri" w:hAnsi="Calibri" w:cs="Calibri"/>
                <w:color w:val="000000"/>
              </w:rPr>
            </w:pPr>
            <w:r>
              <w:rPr>
                <w:rFonts w:ascii="Calibri" w:hAnsi="Calibri" w:cs="Calibri"/>
                <w:color w:val="000000"/>
              </w:rPr>
              <w:t>2:00-3:30</w:t>
            </w:r>
          </w:p>
        </w:tc>
        <w:tc>
          <w:tcPr>
            <w:tcW w:w="1380" w:type="dxa"/>
            <w:tcBorders>
              <w:top w:val="nil"/>
              <w:left w:val="nil"/>
              <w:bottom w:val="nil"/>
              <w:right w:val="nil"/>
            </w:tcBorders>
            <w:shd w:val="solid" w:color="FFFFFF" w:fill="auto"/>
          </w:tcPr>
          <w:p w14:paraId="0E1DA55C" w14:textId="77777777" w:rsidR="006B499C" w:rsidRDefault="006B499C">
            <w:pPr>
              <w:autoSpaceDE w:val="0"/>
              <w:autoSpaceDN w:val="0"/>
              <w:adjustRightInd w:val="0"/>
              <w:jc w:val="right"/>
              <w:rPr>
                <w:rFonts w:ascii="Calibri" w:hAnsi="Calibri" w:cs="Calibri"/>
                <w:color w:val="000000"/>
                <w:sz w:val="22"/>
                <w:szCs w:val="22"/>
              </w:rPr>
            </w:pPr>
          </w:p>
        </w:tc>
      </w:tr>
      <w:tr w:rsidR="006B499C" w14:paraId="47175AF7"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2B4A0146"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1/7/19</w:t>
            </w:r>
          </w:p>
        </w:tc>
        <w:tc>
          <w:tcPr>
            <w:tcW w:w="1380" w:type="dxa"/>
            <w:tcBorders>
              <w:top w:val="nil"/>
              <w:left w:val="nil"/>
              <w:bottom w:val="nil"/>
              <w:right w:val="nil"/>
            </w:tcBorders>
            <w:shd w:val="solid" w:color="FFFFFF" w:fill="auto"/>
          </w:tcPr>
          <w:p w14:paraId="511FAC07" w14:textId="3053FCD1" w:rsidR="006B499C" w:rsidRDefault="00880636">
            <w:pPr>
              <w:autoSpaceDE w:val="0"/>
              <w:autoSpaceDN w:val="0"/>
              <w:adjustRightInd w:val="0"/>
              <w:rPr>
                <w:rFonts w:ascii="Calibri" w:hAnsi="Calibri" w:cs="Calibri"/>
                <w:color w:val="000000"/>
                <w:sz w:val="22"/>
                <w:szCs w:val="22"/>
              </w:rPr>
            </w:pPr>
            <w:r>
              <w:rPr>
                <w:rFonts w:ascii="Calibri" w:hAnsi="Calibri" w:cs="Calibri"/>
                <w:color w:val="000000"/>
                <w:sz w:val="22"/>
                <w:szCs w:val="22"/>
              </w:rPr>
              <w:t>327</w:t>
            </w:r>
          </w:p>
        </w:tc>
      </w:tr>
      <w:tr w:rsidR="006B499C" w14:paraId="66C1B370"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66098813"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2/4/19</w:t>
            </w:r>
          </w:p>
        </w:tc>
        <w:tc>
          <w:tcPr>
            <w:tcW w:w="1380" w:type="dxa"/>
            <w:tcBorders>
              <w:top w:val="nil"/>
              <w:left w:val="nil"/>
              <w:bottom w:val="nil"/>
              <w:right w:val="nil"/>
            </w:tcBorders>
            <w:shd w:val="solid" w:color="FFFFFF" w:fill="auto"/>
          </w:tcPr>
          <w:p w14:paraId="16B632A5"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38EEF486"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300DC52D"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3/4/19</w:t>
            </w:r>
          </w:p>
        </w:tc>
        <w:tc>
          <w:tcPr>
            <w:tcW w:w="1380" w:type="dxa"/>
            <w:tcBorders>
              <w:top w:val="nil"/>
              <w:left w:val="nil"/>
              <w:bottom w:val="nil"/>
              <w:right w:val="nil"/>
            </w:tcBorders>
            <w:shd w:val="solid" w:color="FFFFFF" w:fill="auto"/>
          </w:tcPr>
          <w:p w14:paraId="1B5221FF"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3EA97B76" w14:textId="77777777">
        <w:trPr>
          <w:trHeight w:val="28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42279E0F" w14:textId="77777777" w:rsidR="006B499C" w:rsidRDefault="006B499C">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4/8/19</w:t>
            </w:r>
          </w:p>
        </w:tc>
        <w:tc>
          <w:tcPr>
            <w:tcW w:w="1380" w:type="dxa"/>
            <w:tcBorders>
              <w:top w:val="nil"/>
              <w:left w:val="nil"/>
              <w:bottom w:val="nil"/>
              <w:right w:val="nil"/>
            </w:tcBorders>
            <w:shd w:val="solid" w:color="FFFFFF" w:fill="auto"/>
          </w:tcPr>
          <w:p w14:paraId="04E77613"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148285BA" w14:textId="77777777">
        <w:trPr>
          <w:trHeight w:val="28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6F23F6D" w14:textId="77777777" w:rsidR="006B499C" w:rsidRDefault="006B499C">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5/6/18</w:t>
            </w:r>
          </w:p>
        </w:tc>
        <w:tc>
          <w:tcPr>
            <w:tcW w:w="1380" w:type="dxa"/>
            <w:tcBorders>
              <w:top w:val="nil"/>
              <w:left w:val="nil"/>
              <w:bottom w:val="nil"/>
              <w:right w:val="nil"/>
            </w:tcBorders>
            <w:shd w:val="solid" w:color="FFFFFF" w:fill="auto"/>
          </w:tcPr>
          <w:p w14:paraId="1677FF1C"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bl>
    <w:p w14:paraId="64CBFDA9" w14:textId="16A98C80" w:rsidR="00942C68" w:rsidRPr="00185BE5" w:rsidRDefault="00942C68" w:rsidP="00583302">
      <w:pPr>
        <w:rPr>
          <w:i/>
          <w:sz w:val="20"/>
          <w:szCs w:val="20"/>
        </w:rPr>
      </w:pPr>
    </w:p>
    <w:sectPr w:rsidR="00942C68" w:rsidRPr="00185BE5" w:rsidSect="000426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5DF53" w14:textId="77777777" w:rsidR="002C5ED2" w:rsidRDefault="002C5ED2">
      <w:r>
        <w:separator/>
      </w:r>
    </w:p>
  </w:endnote>
  <w:endnote w:type="continuationSeparator" w:id="0">
    <w:p w14:paraId="239DD506" w14:textId="77777777" w:rsidR="002C5ED2" w:rsidRDefault="002C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1209" w14:textId="77777777" w:rsidR="002C5ED2" w:rsidRDefault="002C5ED2">
      <w:r>
        <w:separator/>
      </w:r>
    </w:p>
  </w:footnote>
  <w:footnote w:type="continuationSeparator" w:id="0">
    <w:p w14:paraId="3A7BC3D0" w14:textId="77777777" w:rsidR="002C5ED2" w:rsidRDefault="002C5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0DF"/>
    <w:multiLevelType w:val="hybridMultilevel"/>
    <w:tmpl w:val="156C1B78"/>
    <w:lvl w:ilvl="0" w:tplc="CD3282D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55377"/>
    <w:multiLevelType w:val="hybridMultilevel"/>
    <w:tmpl w:val="93AE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B0793"/>
    <w:multiLevelType w:val="hybridMultilevel"/>
    <w:tmpl w:val="0FFCA2D8"/>
    <w:lvl w:ilvl="0" w:tplc="0B6CA142">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43E76"/>
    <w:multiLevelType w:val="hybridMultilevel"/>
    <w:tmpl w:val="10143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801572"/>
    <w:multiLevelType w:val="hybridMultilevel"/>
    <w:tmpl w:val="D886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317DF"/>
    <w:multiLevelType w:val="hybridMultilevel"/>
    <w:tmpl w:val="5434C5B6"/>
    <w:lvl w:ilvl="0" w:tplc="CD3282DC">
      <w:start w:val="1"/>
      <w:numFmt w:val="decimal"/>
      <w:lvlText w:val="%1."/>
      <w:lvlJc w:val="left"/>
      <w:pPr>
        <w:ind w:left="360" w:hanging="360"/>
      </w:pPr>
      <w:rPr>
        <w:rFonts w:hint="default"/>
        <w:i w:val="0"/>
        <w:sz w:val="24"/>
        <w:szCs w:val="24"/>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92E49"/>
    <w:multiLevelType w:val="hybridMultilevel"/>
    <w:tmpl w:val="AB381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162CE"/>
    <w:multiLevelType w:val="hybridMultilevel"/>
    <w:tmpl w:val="8DF2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35E2C"/>
    <w:multiLevelType w:val="hybridMultilevel"/>
    <w:tmpl w:val="2FC29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C81A17"/>
    <w:multiLevelType w:val="hybridMultilevel"/>
    <w:tmpl w:val="92CC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2239A"/>
    <w:multiLevelType w:val="hybridMultilevel"/>
    <w:tmpl w:val="F508DF62"/>
    <w:lvl w:ilvl="0" w:tplc="CD3282D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33EBD"/>
    <w:multiLevelType w:val="hybridMultilevel"/>
    <w:tmpl w:val="1D9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4"/>
  </w:num>
  <w:num w:numId="4">
    <w:abstractNumId w:val="5"/>
  </w:num>
  <w:num w:numId="5">
    <w:abstractNumId w:val="0"/>
  </w:num>
  <w:num w:numId="6">
    <w:abstractNumId w:val="8"/>
  </w:num>
  <w:num w:numId="7">
    <w:abstractNumId w:val="11"/>
  </w:num>
  <w:num w:numId="8">
    <w:abstractNumId w:val="1"/>
  </w:num>
  <w:num w:numId="9">
    <w:abstractNumId w:val="3"/>
  </w:num>
  <w:num w:numId="10">
    <w:abstractNumId w:val="10"/>
  </w:num>
  <w:num w:numId="11">
    <w:abstractNumId w:val="7"/>
  </w:num>
  <w:num w:numId="12">
    <w:abstractNumId w:val="9"/>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8E"/>
    <w:rsid w:val="00012E79"/>
    <w:rsid w:val="00042610"/>
    <w:rsid w:val="000811BD"/>
    <w:rsid w:val="000A6756"/>
    <w:rsid w:val="000F2762"/>
    <w:rsid w:val="00134392"/>
    <w:rsid w:val="00183DEC"/>
    <w:rsid w:val="001A27B2"/>
    <w:rsid w:val="001C681B"/>
    <w:rsid w:val="001E230D"/>
    <w:rsid w:val="00201955"/>
    <w:rsid w:val="00212D25"/>
    <w:rsid w:val="002263F3"/>
    <w:rsid w:val="002334CA"/>
    <w:rsid w:val="00254070"/>
    <w:rsid w:val="0026535E"/>
    <w:rsid w:val="002759BE"/>
    <w:rsid w:val="002C5ED2"/>
    <w:rsid w:val="003111C8"/>
    <w:rsid w:val="0033400F"/>
    <w:rsid w:val="00343750"/>
    <w:rsid w:val="0034644E"/>
    <w:rsid w:val="00353386"/>
    <w:rsid w:val="003714B2"/>
    <w:rsid w:val="003E1889"/>
    <w:rsid w:val="003E3960"/>
    <w:rsid w:val="003F3200"/>
    <w:rsid w:val="004B211D"/>
    <w:rsid w:val="004C7106"/>
    <w:rsid w:val="004D31BB"/>
    <w:rsid w:val="004E349B"/>
    <w:rsid w:val="004F25CB"/>
    <w:rsid w:val="00522B52"/>
    <w:rsid w:val="005324CD"/>
    <w:rsid w:val="005342CF"/>
    <w:rsid w:val="0056028C"/>
    <w:rsid w:val="00583302"/>
    <w:rsid w:val="005A1AE0"/>
    <w:rsid w:val="005B71C2"/>
    <w:rsid w:val="005E650A"/>
    <w:rsid w:val="005F176D"/>
    <w:rsid w:val="0060353C"/>
    <w:rsid w:val="006145BE"/>
    <w:rsid w:val="006225C3"/>
    <w:rsid w:val="00681691"/>
    <w:rsid w:val="006B499C"/>
    <w:rsid w:val="006C1CAE"/>
    <w:rsid w:val="006C2C08"/>
    <w:rsid w:val="006C3E00"/>
    <w:rsid w:val="006F37DF"/>
    <w:rsid w:val="00702538"/>
    <w:rsid w:val="00736BF8"/>
    <w:rsid w:val="00743953"/>
    <w:rsid w:val="0074418E"/>
    <w:rsid w:val="007705C0"/>
    <w:rsid w:val="00780F1C"/>
    <w:rsid w:val="007D2B36"/>
    <w:rsid w:val="00811E82"/>
    <w:rsid w:val="00836199"/>
    <w:rsid w:val="00844FEF"/>
    <w:rsid w:val="00862E52"/>
    <w:rsid w:val="00874163"/>
    <w:rsid w:val="00880636"/>
    <w:rsid w:val="0088374E"/>
    <w:rsid w:val="008A08D9"/>
    <w:rsid w:val="008C0ECB"/>
    <w:rsid w:val="008F549B"/>
    <w:rsid w:val="00916EB1"/>
    <w:rsid w:val="00942C68"/>
    <w:rsid w:val="00993F6B"/>
    <w:rsid w:val="009A4E23"/>
    <w:rsid w:val="009F1155"/>
    <w:rsid w:val="009F724B"/>
    <w:rsid w:val="00A216A0"/>
    <w:rsid w:val="00A343BF"/>
    <w:rsid w:val="00A42962"/>
    <w:rsid w:val="00A528E9"/>
    <w:rsid w:val="00A5553E"/>
    <w:rsid w:val="00A561DB"/>
    <w:rsid w:val="00A800CD"/>
    <w:rsid w:val="00A9746B"/>
    <w:rsid w:val="00AC69F6"/>
    <w:rsid w:val="00AE3793"/>
    <w:rsid w:val="00AE604D"/>
    <w:rsid w:val="00B0651E"/>
    <w:rsid w:val="00B262CB"/>
    <w:rsid w:val="00B46EBF"/>
    <w:rsid w:val="00B47810"/>
    <w:rsid w:val="00B52323"/>
    <w:rsid w:val="00B72659"/>
    <w:rsid w:val="00B930FB"/>
    <w:rsid w:val="00BC34AB"/>
    <w:rsid w:val="00BE74EE"/>
    <w:rsid w:val="00C04F3C"/>
    <w:rsid w:val="00C2697B"/>
    <w:rsid w:val="00C27DA2"/>
    <w:rsid w:val="00C31924"/>
    <w:rsid w:val="00C32CB7"/>
    <w:rsid w:val="00C70DBF"/>
    <w:rsid w:val="00C936BE"/>
    <w:rsid w:val="00C93F57"/>
    <w:rsid w:val="00CA1846"/>
    <w:rsid w:val="00CD5134"/>
    <w:rsid w:val="00CD7ECC"/>
    <w:rsid w:val="00CF4B61"/>
    <w:rsid w:val="00D24594"/>
    <w:rsid w:val="00D42850"/>
    <w:rsid w:val="00D6118A"/>
    <w:rsid w:val="00D6235A"/>
    <w:rsid w:val="00DC78F6"/>
    <w:rsid w:val="00DE059A"/>
    <w:rsid w:val="00DE7140"/>
    <w:rsid w:val="00DE7FBC"/>
    <w:rsid w:val="00E10850"/>
    <w:rsid w:val="00E249FF"/>
    <w:rsid w:val="00E912DC"/>
    <w:rsid w:val="00EA701E"/>
    <w:rsid w:val="00EC7479"/>
    <w:rsid w:val="00ED0484"/>
    <w:rsid w:val="00EE36EE"/>
    <w:rsid w:val="00F14A97"/>
    <w:rsid w:val="00F16781"/>
    <w:rsid w:val="00F17B8A"/>
    <w:rsid w:val="00F22C19"/>
    <w:rsid w:val="00F31921"/>
    <w:rsid w:val="00F44AC7"/>
    <w:rsid w:val="00F605CE"/>
    <w:rsid w:val="00FB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2624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F15"/>
  </w:style>
  <w:style w:type="paragraph" w:styleId="Heading1">
    <w:name w:val="heading 1"/>
    <w:basedOn w:val="Normal"/>
    <w:link w:val="Heading1Char"/>
    <w:uiPriority w:val="9"/>
    <w:qFormat/>
    <w:rsid w:val="007439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4B36"/>
    <w:rPr>
      <w:rFonts w:ascii="Tahoma" w:hAnsi="Tahoma" w:cs="Tahoma"/>
      <w:sz w:val="16"/>
      <w:szCs w:val="16"/>
    </w:rPr>
  </w:style>
  <w:style w:type="paragraph" w:styleId="Header">
    <w:name w:val="header"/>
    <w:basedOn w:val="Normal"/>
    <w:rsid w:val="009D00BE"/>
    <w:pPr>
      <w:tabs>
        <w:tab w:val="center" w:pos="4320"/>
        <w:tab w:val="right" w:pos="8640"/>
      </w:tabs>
    </w:pPr>
  </w:style>
  <w:style w:type="paragraph" w:styleId="Footer">
    <w:name w:val="footer"/>
    <w:basedOn w:val="Normal"/>
    <w:rsid w:val="009D00BE"/>
    <w:pPr>
      <w:tabs>
        <w:tab w:val="center" w:pos="4320"/>
        <w:tab w:val="right" w:pos="8640"/>
      </w:tabs>
    </w:pPr>
  </w:style>
  <w:style w:type="paragraph" w:customStyle="1" w:styleId="LightGrid-Accent31">
    <w:name w:val="Light Grid - Accent 31"/>
    <w:basedOn w:val="Normal"/>
    <w:uiPriority w:val="34"/>
    <w:qFormat/>
    <w:rsid w:val="00081B77"/>
    <w:pPr>
      <w:ind w:left="720"/>
    </w:pPr>
  </w:style>
  <w:style w:type="paragraph" w:customStyle="1" w:styleId="ColorfulList-Accent11">
    <w:name w:val="Colorful List - Accent 11"/>
    <w:basedOn w:val="Normal"/>
    <w:uiPriority w:val="34"/>
    <w:qFormat/>
    <w:rsid w:val="00D74CB0"/>
    <w:pPr>
      <w:ind w:left="720"/>
    </w:pPr>
  </w:style>
  <w:style w:type="character" w:styleId="Hyperlink">
    <w:name w:val="Hyperlink"/>
    <w:uiPriority w:val="99"/>
    <w:unhideWhenUsed/>
    <w:rsid w:val="002D740E"/>
    <w:rPr>
      <w:color w:val="0000FF"/>
      <w:u w:val="single"/>
    </w:rPr>
  </w:style>
  <w:style w:type="paragraph" w:styleId="EnvelopeAddress">
    <w:name w:val="envelope address"/>
    <w:basedOn w:val="Normal"/>
    <w:uiPriority w:val="99"/>
    <w:unhideWhenUsed/>
    <w:rsid w:val="00602D87"/>
    <w:pPr>
      <w:framePr w:w="7920" w:h="1980" w:hRule="exact" w:hSpace="180" w:wrap="auto" w:hAnchor="page"/>
    </w:pPr>
    <w:rPr>
      <w:rFonts w:ascii="Calibri" w:eastAsia="MS Gothic" w:hAnsi="Calibri"/>
    </w:rPr>
  </w:style>
  <w:style w:type="paragraph" w:styleId="EnvelopeReturn">
    <w:name w:val="envelope return"/>
    <w:basedOn w:val="Normal"/>
    <w:uiPriority w:val="99"/>
    <w:unhideWhenUsed/>
    <w:rsid w:val="00602D87"/>
    <w:rPr>
      <w:rFonts w:ascii="Calibri" w:eastAsia="MS Gothic" w:hAnsi="Calibri"/>
      <w:sz w:val="20"/>
      <w:szCs w:val="20"/>
    </w:rPr>
  </w:style>
  <w:style w:type="character" w:styleId="CommentReference">
    <w:name w:val="annotation reference"/>
    <w:basedOn w:val="DefaultParagraphFont"/>
    <w:rsid w:val="00FF1545"/>
    <w:rPr>
      <w:sz w:val="18"/>
      <w:szCs w:val="18"/>
    </w:rPr>
  </w:style>
  <w:style w:type="paragraph" w:styleId="CommentText">
    <w:name w:val="annotation text"/>
    <w:basedOn w:val="Normal"/>
    <w:link w:val="CommentTextChar"/>
    <w:rsid w:val="00FF1545"/>
  </w:style>
  <w:style w:type="character" w:customStyle="1" w:styleId="CommentTextChar">
    <w:name w:val="Comment Text Char"/>
    <w:basedOn w:val="DefaultParagraphFont"/>
    <w:link w:val="CommentText"/>
    <w:rsid w:val="00FF1545"/>
    <w:rPr>
      <w:sz w:val="24"/>
      <w:szCs w:val="24"/>
    </w:rPr>
  </w:style>
  <w:style w:type="paragraph" w:styleId="CommentSubject">
    <w:name w:val="annotation subject"/>
    <w:basedOn w:val="CommentText"/>
    <w:next w:val="CommentText"/>
    <w:link w:val="CommentSubjectChar"/>
    <w:rsid w:val="00FF1545"/>
    <w:rPr>
      <w:b/>
      <w:bCs/>
      <w:sz w:val="20"/>
      <w:szCs w:val="20"/>
    </w:rPr>
  </w:style>
  <w:style w:type="character" w:customStyle="1" w:styleId="CommentSubjectChar">
    <w:name w:val="Comment Subject Char"/>
    <w:basedOn w:val="CommentTextChar"/>
    <w:link w:val="CommentSubject"/>
    <w:rsid w:val="00FF1545"/>
    <w:rPr>
      <w:b/>
      <w:bCs/>
      <w:sz w:val="24"/>
      <w:szCs w:val="24"/>
    </w:rPr>
  </w:style>
  <w:style w:type="paragraph" w:styleId="ListParagraph">
    <w:name w:val="List Paragraph"/>
    <w:basedOn w:val="Normal"/>
    <w:rsid w:val="00763B9F"/>
    <w:pPr>
      <w:ind w:left="720"/>
      <w:contextualSpacing/>
    </w:pPr>
  </w:style>
  <w:style w:type="character" w:customStyle="1" w:styleId="Heading1Char">
    <w:name w:val="Heading 1 Char"/>
    <w:basedOn w:val="DefaultParagraphFont"/>
    <w:link w:val="Heading1"/>
    <w:uiPriority w:val="9"/>
    <w:rsid w:val="00743953"/>
    <w:rPr>
      <w:b/>
      <w:bCs/>
      <w:kern w:val="36"/>
      <w:sz w:val="48"/>
      <w:szCs w:val="48"/>
    </w:rPr>
  </w:style>
  <w:style w:type="table" w:styleId="TableGrid">
    <w:name w:val="Table Grid"/>
    <w:basedOn w:val="TableNormal"/>
    <w:rsid w:val="0077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61DB"/>
    <w:rPr>
      <w:color w:val="605E5C"/>
      <w:shd w:val="clear" w:color="auto" w:fill="E1DFDD"/>
    </w:rPr>
  </w:style>
  <w:style w:type="paragraph" w:styleId="NoSpacing">
    <w:name w:val="No Spacing"/>
    <w:uiPriority w:val="1"/>
    <w:qFormat/>
    <w:rsid w:val="00F22C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143">
      <w:bodyDiv w:val="1"/>
      <w:marLeft w:val="0"/>
      <w:marRight w:val="0"/>
      <w:marTop w:val="0"/>
      <w:marBottom w:val="0"/>
      <w:divBdr>
        <w:top w:val="none" w:sz="0" w:space="0" w:color="auto"/>
        <w:left w:val="none" w:sz="0" w:space="0" w:color="auto"/>
        <w:bottom w:val="none" w:sz="0" w:space="0" w:color="auto"/>
        <w:right w:val="none" w:sz="0" w:space="0" w:color="auto"/>
      </w:divBdr>
      <w:divsChild>
        <w:div w:id="393967945">
          <w:marLeft w:val="0"/>
          <w:marRight w:val="0"/>
          <w:marTop w:val="0"/>
          <w:marBottom w:val="0"/>
          <w:divBdr>
            <w:top w:val="none" w:sz="0" w:space="0" w:color="auto"/>
            <w:left w:val="none" w:sz="0" w:space="0" w:color="auto"/>
            <w:bottom w:val="none" w:sz="0" w:space="0" w:color="auto"/>
            <w:right w:val="none" w:sz="0" w:space="0" w:color="auto"/>
          </w:divBdr>
        </w:div>
        <w:div w:id="2039886421">
          <w:marLeft w:val="0"/>
          <w:marRight w:val="0"/>
          <w:marTop w:val="0"/>
          <w:marBottom w:val="0"/>
          <w:divBdr>
            <w:top w:val="none" w:sz="0" w:space="0" w:color="auto"/>
            <w:left w:val="none" w:sz="0" w:space="0" w:color="auto"/>
            <w:bottom w:val="none" w:sz="0" w:space="0" w:color="auto"/>
            <w:right w:val="none" w:sz="0" w:space="0" w:color="auto"/>
          </w:divBdr>
          <w:divsChild>
            <w:div w:id="340201933">
              <w:marLeft w:val="0"/>
              <w:marRight w:val="0"/>
              <w:marTop w:val="0"/>
              <w:marBottom w:val="0"/>
              <w:divBdr>
                <w:top w:val="none" w:sz="0" w:space="0" w:color="auto"/>
                <w:left w:val="none" w:sz="0" w:space="0" w:color="auto"/>
                <w:bottom w:val="none" w:sz="0" w:space="0" w:color="auto"/>
                <w:right w:val="none" w:sz="0" w:space="0" w:color="auto"/>
              </w:divBdr>
            </w:div>
            <w:div w:id="1025667560">
              <w:marLeft w:val="0"/>
              <w:marRight w:val="0"/>
              <w:marTop w:val="0"/>
              <w:marBottom w:val="0"/>
              <w:divBdr>
                <w:top w:val="none" w:sz="0" w:space="0" w:color="auto"/>
                <w:left w:val="none" w:sz="0" w:space="0" w:color="auto"/>
                <w:bottom w:val="none" w:sz="0" w:space="0" w:color="auto"/>
                <w:right w:val="none" w:sz="0" w:space="0" w:color="auto"/>
              </w:divBdr>
            </w:div>
            <w:div w:id="18626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841">
      <w:bodyDiv w:val="1"/>
      <w:marLeft w:val="0"/>
      <w:marRight w:val="0"/>
      <w:marTop w:val="0"/>
      <w:marBottom w:val="0"/>
      <w:divBdr>
        <w:top w:val="none" w:sz="0" w:space="0" w:color="auto"/>
        <w:left w:val="none" w:sz="0" w:space="0" w:color="auto"/>
        <w:bottom w:val="none" w:sz="0" w:space="0" w:color="auto"/>
        <w:right w:val="none" w:sz="0" w:space="0" w:color="auto"/>
      </w:divBdr>
    </w:div>
    <w:div w:id="255213244">
      <w:bodyDiv w:val="1"/>
      <w:marLeft w:val="0"/>
      <w:marRight w:val="0"/>
      <w:marTop w:val="0"/>
      <w:marBottom w:val="0"/>
      <w:divBdr>
        <w:top w:val="none" w:sz="0" w:space="0" w:color="auto"/>
        <w:left w:val="none" w:sz="0" w:space="0" w:color="auto"/>
        <w:bottom w:val="none" w:sz="0" w:space="0" w:color="auto"/>
        <w:right w:val="none" w:sz="0" w:space="0" w:color="auto"/>
      </w:divBdr>
    </w:div>
    <w:div w:id="330724163">
      <w:bodyDiv w:val="1"/>
      <w:marLeft w:val="0"/>
      <w:marRight w:val="0"/>
      <w:marTop w:val="0"/>
      <w:marBottom w:val="0"/>
      <w:divBdr>
        <w:top w:val="none" w:sz="0" w:space="0" w:color="auto"/>
        <w:left w:val="none" w:sz="0" w:space="0" w:color="auto"/>
        <w:bottom w:val="none" w:sz="0" w:space="0" w:color="auto"/>
        <w:right w:val="none" w:sz="0" w:space="0" w:color="auto"/>
      </w:divBdr>
    </w:div>
    <w:div w:id="998967549">
      <w:bodyDiv w:val="1"/>
      <w:marLeft w:val="0"/>
      <w:marRight w:val="0"/>
      <w:marTop w:val="0"/>
      <w:marBottom w:val="0"/>
      <w:divBdr>
        <w:top w:val="none" w:sz="0" w:space="0" w:color="auto"/>
        <w:left w:val="none" w:sz="0" w:space="0" w:color="auto"/>
        <w:bottom w:val="none" w:sz="0" w:space="0" w:color="auto"/>
        <w:right w:val="none" w:sz="0" w:space="0" w:color="auto"/>
      </w:divBdr>
    </w:div>
    <w:div w:id="1226258293">
      <w:bodyDiv w:val="1"/>
      <w:marLeft w:val="0"/>
      <w:marRight w:val="0"/>
      <w:marTop w:val="0"/>
      <w:marBottom w:val="0"/>
      <w:divBdr>
        <w:top w:val="none" w:sz="0" w:space="0" w:color="auto"/>
        <w:left w:val="none" w:sz="0" w:space="0" w:color="auto"/>
        <w:bottom w:val="none" w:sz="0" w:space="0" w:color="auto"/>
        <w:right w:val="none" w:sz="0" w:space="0" w:color="auto"/>
      </w:divBdr>
    </w:div>
    <w:div w:id="1250504130">
      <w:bodyDiv w:val="1"/>
      <w:marLeft w:val="0"/>
      <w:marRight w:val="0"/>
      <w:marTop w:val="0"/>
      <w:marBottom w:val="0"/>
      <w:divBdr>
        <w:top w:val="none" w:sz="0" w:space="0" w:color="auto"/>
        <w:left w:val="none" w:sz="0" w:space="0" w:color="auto"/>
        <w:bottom w:val="none" w:sz="0" w:space="0" w:color="auto"/>
        <w:right w:val="none" w:sz="0" w:space="0" w:color="auto"/>
      </w:divBdr>
    </w:div>
    <w:div w:id="1333602389">
      <w:bodyDiv w:val="1"/>
      <w:marLeft w:val="0"/>
      <w:marRight w:val="0"/>
      <w:marTop w:val="0"/>
      <w:marBottom w:val="0"/>
      <w:divBdr>
        <w:top w:val="none" w:sz="0" w:space="0" w:color="auto"/>
        <w:left w:val="none" w:sz="0" w:space="0" w:color="auto"/>
        <w:bottom w:val="none" w:sz="0" w:space="0" w:color="auto"/>
        <w:right w:val="none" w:sz="0" w:space="0" w:color="auto"/>
      </w:divBdr>
      <w:divsChild>
        <w:div w:id="857230902">
          <w:marLeft w:val="0"/>
          <w:marRight w:val="0"/>
          <w:marTop w:val="0"/>
          <w:marBottom w:val="0"/>
          <w:divBdr>
            <w:top w:val="none" w:sz="0" w:space="0" w:color="auto"/>
            <w:left w:val="none" w:sz="0" w:space="0" w:color="auto"/>
            <w:bottom w:val="none" w:sz="0" w:space="0" w:color="auto"/>
            <w:right w:val="none" w:sz="0" w:space="0" w:color="auto"/>
          </w:divBdr>
        </w:div>
        <w:div w:id="1268733373">
          <w:marLeft w:val="0"/>
          <w:marRight w:val="0"/>
          <w:marTop w:val="0"/>
          <w:marBottom w:val="0"/>
          <w:divBdr>
            <w:top w:val="none" w:sz="0" w:space="0" w:color="auto"/>
            <w:left w:val="none" w:sz="0" w:space="0" w:color="auto"/>
            <w:bottom w:val="none" w:sz="0" w:space="0" w:color="auto"/>
            <w:right w:val="none" w:sz="0" w:space="0" w:color="auto"/>
          </w:divBdr>
          <w:divsChild>
            <w:div w:id="74934776">
              <w:marLeft w:val="0"/>
              <w:marRight w:val="0"/>
              <w:marTop w:val="0"/>
              <w:marBottom w:val="0"/>
              <w:divBdr>
                <w:top w:val="none" w:sz="0" w:space="0" w:color="auto"/>
                <w:left w:val="none" w:sz="0" w:space="0" w:color="auto"/>
                <w:bottom w:val="none" w:sz="0" w:space="0" w:color="auto"/>
                <w:right w:val="none" w:sz="0" w:space="0" w:color="auto"/>
              </w:divBdr>
            </w:div>
            <w:div w:id="960186038">
              <w:marLeft w:val="0"/>
              <w:marRight w:val="0"/>
              <w:marTop w:val="0"/>
              <w:marBottom w:val="0"/>
              <w:divBdr>
                <w:top w:val="none" w:sz="0" w:space="0" w:color="auto"/>
                <w:left w:val="none" w:sz="0" w:space="0" w:color="auto"/>
                <w:bottom w:val="none" w:sz="0" w:space="0" w:color="auto"/>
                <w:right w:val="none" w:sz="0" w:space="0" w:color="auto"/>
              </w:divBdr>
            </w:div>
            <w:div w:id="1959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3245">
      <w:bodyDiv w:val="1"/>
      <w:marLeft w:val="0"/>
      <w:marRight w:val="0"/>
      <w:marTop w:val="0"/>
      <w:marBottom w:val="0"/>
      <w:divBdr>
        <w:top w:val="none" w:sz="0" w:space="0" w:color="auto"/>
        <w:left w:val="none" w:sz="0" w:space="0" w:color="auto"/>
        <w:bottom w:val="none" w:sz="0" w:space="0" w:color="auto"/>
        <w:right w:val="none" w:sz="0" w:space="0" w:color="auto"/>
      </w:divBdr>
    </w:div>
    <w:div w:id="1477917211">
      <w:bodyDiv w:val="1"/>
      <w:marLeft w:val="0"/>
      <w:marRight w:val="0"/>
      <w:marTop w:val="0"/>
      <w:marBottom w:val="0"/>
      <w:divBdr>
        <w:top w:val="none" w:sz="0" w:space="0" w:color="auto"/>
        <w:left w:val="none" w:sz="0" w:space="0" w:color="auto"/>
        <w:bottom w:val="none" w:sz="0" w:space="0" w:color="auto"/>
        <w:right w:val="none" w:sz="0" w:space="0" w:color="auto"/>
      </w:divBdr>
    </w:div>
    <w:div w:id="1743481089">
      <w:bodyDiv w:val="1"/>
      <w:marLeft w:val="0"/>
      <w:marRight w:val="0"/>
      <w:marTop w:val="0"/>
      <w:marBottom w:val="0"/>
      <w:divBdr>
        <w:top w:val="none" w:sz="0" w:space="0" w:color="auto"/>
        <w:left w:val="none" w:sz="0" w:space="0" w:color="auto"/>
        <w:bottom w:val="none" w:sz="0" w:space="0" w:color="auto"/>
        <w:right w:val="none" w:sz="0" w:space="0" w:color="auto"/>
      </w:divBdr>
    </w:div>
    <w:div w:id="1894580418">
      <w:bodyDiv w:val="1"/>
      <w:marLeft w:val="0"/>
      <w:marRight w:val="0"/>
      <w:marTop w:val="0"/>
      <w:marBottom w:val="0"/>
      <w:divBdr>
        <w:top w:val="none" w:sz="0" w:space="0" w:color="auto"/>
        <w:left w:val="none" w:sz="0" w:space="0" w:color="auto"/>
        <w:bottom w:val="none" w:sz="0" w:space="0" w:color="auto"/>
        <w:right w:val="none" w:sz="0" w:space="0" w:color="auto"/>
      </w:divBdr>
    </w:div>
    <w:div w:id="193200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6B98-F5E6-C841-AED0-1D7D2248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Executive Council</vt:lpstr>
    </vt:vector>
  </TitlesOfParts>
  <Company>UVM</Company>
  <LinksUpToDate>false</LinksUpToDate>
  <CharactersWithSpaces>5440</CharactersWithSpaces>
  <SharedDoc>false</SharedDoc>
  <HLinks>
    <vt:vector size="6" baseType="variant">
      <vt:variant>
        <vt:i4>6422644</vt:i4>
      </vt:variant>
      <vt:variant>
        <vt:i4>2048</vt:i4>
      </vt:variant>
      <vt:variant>
        <vt:i4>1025</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subject/>
  <dc:creator>uvm affiliate</dc:creator>
  <cp:keywords/>
  <dc:description/>
  <cp:lastModifiedBy>Microsoft Office User</cp:lastModifiedBy>
  <cp:revision>7</cp:revision>
  <cp:lastPrinted>2017-11-13T19:51:00Z</cp:lastPrinted>
  <dcterms:created xsi:type="dcterms:W3CDTF">2018-11-05T20:28:00Z</dcterms:created>
  <dcterms:modified xsi:type="dcterms:W3CDTF">2018-12-21T14:53:00Z</dcterms:modified>
</cp:coreProperties>
</file>