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C7E6E" w14:textId="0A59BC98" w:rsidR="009C70F5" w:rsidRPr="00813039" w:rsidRDefault="00256AE5" w:rsidP="00EF5C0F">
      <w:pPr>
        <w:rPr>
          <w:rFonts w:ascii="Cambria" w:hAnsi="Cambria" w:cstheme="minorHAnsi"/>
          <w:b/>
          <w:bCs/>
          <w:color w:val="000000" w:themeColor="text1"/>
        </w:rPr>
      </w:pPr>
      <w:bookmarkStart w:id="0" w:name="_GoBack"/>
      <w:bookmarkEnd w:id="0"/>
      <w:r w:rsidRPr="00813039">
        <w:rPr>
          <w:rFonts w:ascii="Cambria" w:hAnsi="Cambria" w:cstheme="minorHAnsi"/>
          <w:b/>
          <w:bCs/>
          <w:color w:val="000000" w:themeColor="text1"/>
        </w:rPr>
        <w:br/>
      </w:r>
      <w:r w:rsidR="002340C0">
        <w:rPr>
          <w:rFonts w:ascii="Cambria" w:hAnsi="Cambria" w:cstheme="minorHAnsi"/>
          <w:b/>
          <w:bCs/>
          <w:color w:val="000000" w:themeColor="text1"/>
        </w:rPr>
        <w:t xml:space="preserve">WIL1: </w:t>
      </w:r>
      <w:r w:rsidR="009C70F5" w:rsidRPr="00813039">
        <w:rPr>
          <w:rFonts w:ascii="Cambria" w:hAnsi="Cambria" w:cstheme="minorHAnsi"/>
          <w:b/>
          <w:bCs/>
          <w:color w:val="000000" w:themeColor="text1"/>
        </w:rPr>
        <w:t xml:space="preserve">Writing and Information Literacy Tier </w:t>
      </w:r>
      <w:r w:rsidR="00D06C50" w:rsidRPr="00813039">
        <w:rPr>
          <w:rFonts w:ascii="Cambria" w:hAnsi="Cambria" w:cstheme="minorHAnsi"/>
          <w:b/>
          <w:bCs/>
          <w:color w:val="000000" w:themeColor="text1"/>
        </w:rPr>
        <w:t>1</w:t>
      </w:r>
      <w:r w:rsidRPr="00813039">
        <w:rPr>
          <w:rFonts w:ascii="Cambria" w:hAnsi="Cambria" w:cstheme="minorHAnsi"/>
          <w:b/>
          <w:bCs/>
          <w:color w:val="000000" w:themeColor="text1"/>
        </w:rPr>
        <w:br/>
      </w:r>
      <w:r w:rsidR="009C70F5" w:rsidRPr="00813039">
        <w:rPr>
          <w:rFonts w:ascii="Cambria" w:hAnsi="Cambria" w:cstheme="minorHAnsi"/>
          <w:b/>
          <w:bCs/>
          <w:color w:val="000000" w:themeColor="text1"/>
        </w:rPr>
        <w:t>Catamount Core Approval Supplemental Information Form</w:t>
      </w:r>
    </w:p>
    <w:p w14:paraId="3BEAF30A" w14:textId="77777777" w:rsidR="009C70F5" w:rsidRPr="00813039" w:rsidRDefault="009C70F5" w:rsidP="00EF5C0F">
      <w:pPr>
        <w:rPr>
          <w:rFonts w:ascii="Cambria" w:hAnsi="Cambria" w:cstheme="minorHAnsi"/>
          <w:color w:val="000000" w:themeColor="text1"/>
        </w:rPr>
      </w:pPr>
    </w:p>
    <w:p w14:paraId="3F7A9F80" w14:textId="5ADF6503" w:rsidR="009C70F5" w:rsidRDefault="009C70F5" w:rsidP="00EF5C0F">
      <w:pPr>
        <w:rPr>
          <w:rFonts w:ascii="Cambria" w:hAnsi="Cambria" w:cstheme="minorHAnsi"/>
          <w:color w:val="000000" w:themeColor="text1"/>
        </w:rPr>
      </w:pPr>
      <w:r w:rsidRPr="00813039">
        <w:rPr>
          <w:rFonts w:ascii="Cambria" w:hAnsi="Cambria" w:cstheme="minorHAnsi"/>
          <w:color w:val="000000" w:themeColor="text1"/>
          <w:u w:val="single"/>
        </w:rPr>
        <w:t>Purpose and Intent</w:t>
      </w:r>
      <w:r w:rsidRPr="00813039">
        <w:rPr>
          <w:rFonts w:ascii="Cambria" w:hAnsi="Cambria" w:cstheme="minorHAnsi"/>
          <w:color w:val="000000" w:themeColor="text1"/>
        </w:rPr>
        <w:t>: To provide supplemental information relevant to the review of proposed courses for designation as WIL</w:t>
      </w:r>
      <w:r w:rsidR="00A71C06" w:rsidRPr="00813039">
        <w:rPr>
          <w:rFonts w:ascii="Cambria" w:hAnsi="Cambria" w:cstheme="minorHAnsi"/>
          <w:color w:val="000000" w:themeColor="text1"/>
        </w:rPr>
        <w:t>1</w:t>
      </w:r>
      <w:r w:rsidRPr="00813039">
        <w:rPr>
          <w:rFonts w:ascii="Cambria" w:hAnsi="Cambria" w:cstheme="minorHAnsi"/>
          <w:color w:val="000000" w:themeColor="text1"/>
        </w:rPr>
        <w:t xml:space="preserve"> and inclusion in UVM’s Catamount Core curriculum. </w:t>
      </w:r>
    </w:p>
    <w:p w14:paraId="1E793EAC" w14:textId="77777777" w:rsidR="00E63F9F" w:rsidRDefault="00E63F9F" w:rsidP="00EF5C0F">
      <w:pPr>
        <w:rPr>
          <w:rFonts w:ascii="Cambria" w:hAnsi="Cambria" w:cstheme="minorHAnsi"/>
          <w:color w:val="000000" w:themeColor="text1"/>
        </w:rPr>
      </w:pPr>
    </w:p>
    <w:tbl>
      <w:tblPr>
        <w:tblStyle w:val="TableGrid"/>
        <w:tblpPr w:leftFromText="180" w:rightFromText="180" w:vertAnchor="text" w:horzAnchor="margin" w:tblpY="140"/>
        <w:tblW w:w="0" w:type="auto"/>
        <w:tblLook w:val="04A0" w:firstRow="1" w:lastRow="0" w:firstColumn="1" w:lastColumn="0" w:noHBand="0" w:noVBand="1"/>
      </w:tblPr>
      <w:tblGrid>
        <w:gridCol w:w="9350"/>
      </w:tblGrid>
      <w:tr w:rsidR="00E63F9F" w14:paraId="0F54850B" w14:textId="77777777" w:rsidTr="00BD5ABC">
        <w:tc>
          <w:tcPr>
            <w:tcW w:w="10790" w:type="dxa"/>
            <w:vAlign w:val="center"/>
          </w:tcPr>
          <w:p w14:paraId="0D345E5B" w14:textId="77777777" w:rsidR="00E63F9F" w:rsidRPr="00633D81" w:rsidRDefault="00E63F9F" w:rsidP="00BD5ABC">
            <w:pPr>
              <w:jc w:val="center"/>
              <w:rPr>
                <w:rFonts w:ascii="Cambria" w:hAnsi="Cambria" w:cs="Segoe UI"/>
              </w:rPr>
            </w:pPr>
          </w:p>
          <w:p w14:paraId="2D1487C6" w14:textId="1D6C2788" w:rsidR="00E63F9F" w:rsidRPr="00633D81" w:rsidRDefault="00E63F9F" w:rsidP="00BD5ABC">
            <w:pPr>
              <w:jc w:val="center"/>
              <w:rPr>
                <w:rFonts w:ascii="Cambria" w:hAnsi="Cambria" w:cs="Segoe UI"/>
              </w:rPr>
            </w:pPr>
            <w:r w:rsidRPr="00E63F9F">
              <w:rPr>
                <w:rFonts w:ascii="Cambria" w:hAnsi="Cambria" w:cs="Segoe UI"/>
                <w:sz w:val="22"/>
                <w:szCs w:val="22"/>
              </w:rPr>
              <w:t xml:space="preserve">With a well-developed syllabus, this form should take </w:t>
            </w:r>
            <w:r w:rsidR="001E424A" w:rsidRPr="00E63F9F">
              <w:rPr>
                <w:rFonts w:ascii="Cambria" w:hAnsi="Cambria" w:cs="Segoe UI"/>
                <w:sz w:val="22"/>
                <w:szCs w:val="22"/>
              </w:rPr>
              <w:t>15-20</w:t>
            </w:r>
            <w:r w:rsidRPr="00E63F9F">
              <w:rPr>
                <w:rFonts w:ascii="Cambria" w:hAnsi="Cambria" w:cs="Segoe UI"/>
                <w:sz w:val="22"/>
                <w:szCs w:val="22"/>
              </w:rPr>
              <w:t xml:space="preserve"> minutes to complete.</w:t>
            </w:r>
          </w:p>
          <w:p w14:paraId="07A9920C" w14:textId="77777777" w:rsidR="00E63F9F" w:rsidRPr="00633D81" w:rsidRDefault="00E63F9F" w:rsidP="00BD5ABC">
            <w:pPr>
              <w:jc w:val="center"/>
              <w:rPr>
                <w:rFonts w:ascii="Cambria" w:hAnsi="Cambria" w:cs="Segoe UI"/>
              </w:rPr>
            </w:pPr>
          </w:p>
        </w:tc>
      </w:tr>
    </w:tbl>
    <w:p w14:paraId="5E45B54F" w14:textId="77777777" w:rsidR="009C70F5" w:rsidRPr="00813039" w:rsidRDefault="009C70F5" w:rsidP="00EF5C0F">
      <w:pPr>
        <w:rPr>
          <w:rFonts w:ascii="Cambria" w:hAnsi="Cambria" w:cstheme="minorHAnsi"/>
          <w:color w:val="000000" w:themeColor="text1"/>
        </w:rPr>
      </w:pPr>
    </w:p>
    <w:p w14:paraId="3349804D" w14:textId="2ADCC6A3" w:rsidR="009C70F5" w:rsidRPr="00813039" w:rsidRDefault="0044129F" w:rsidP="00EF5C0F">
      <w:pPr>
        <w:rPr>
          <w:rFonts w:ascii="Cambria" w:hAnsi="Cambria" w:cstheme="minorHAnsi"/>
          <w:color w:val="000000" w:themeColor="text1"/>
        </w:rPr>
      </w:pPr>
      <w:r w:rsidRPr="00813039">
        <w:rPr>
          <w:rFonts w:ascii="Cambria" w:hAnsi="Cambria" w:cstheme="minorHAnsi"/>
          <w:color w:val="000000" w:themeColor="text1"/>
          <w:u w:val="single"/>
        </w:rPr>
        <w:t>Syllabus Text</w:t>
      </w:r>
      <w:r w:rsidRPr="00813039">
        <w:rPr>
          <w:rFonts w:ascii="Cambria" w:hAnsi="Cambria" w:cstheme="minorHAnsi"/>
          <w:color w:val="000000" w:themeColor="text1"/>
        </w:rPr>
        <w:t xml:space="preserve">: </w:t>
      </w:r>
      <w:r w:rsidR="002340C0" w:rsidRPr="002E7814">
        <w:rPr>
          <w:rFonts w:ascii="Cambria" w:eastAsia="MS Mincho" w:hAnsi="Cambria" w:cs="Calibri"/>
          <w:color w:val="000000"/>
        </w:rPr>
        <w:t>To assist students in understanding how courses in each Catamount Core category contribute to UVM’s general education program,</w:t>
      </w:r>
      <w:r w:rsidR="002340C0">
        <w:rPr>
          <w:rFonts w:ascii="Cambria" w:eastAsia="MS Mincho" w:hAnsi="Cambria" w:cs="Calibri"/>
          <w:color w:val="000000"/>
        </w:rPr>
        <w:t xml:space="preserve"> t</w:t>
      </w:r>
      <w:r w:rsidR="009C70F5" w:rsidRPr="00813039">
        <w:rPr>
          <w:rFonts w:ascii="Cambria" w:hAnsi="Cambria" w:cstheme="minorHAnsi"/>
          <w:color w:val="000000" w:themeColor="text1"/>
        </w:rPr>
        <w:t xml:space="preserve">he language below must be included on the first page of syllabi for all approved courses in the Writing and Information Literacy Tier </w:t>
      </w:r>
      <w:r w:rsidR="00A71C06" w:rsidRPr="00813039">
        <w:rPr>
          <w:rFonts w:ascii="Cambria" w:hAnsi="Cambria" w:cstheme="minorHAnsi"/>
          <w:color w:val="000000" w:themeColor="text1"/>
        </w:rPr>
        <w:t>1</w:t>
      </w:r>
      <w:r w:rsidR="009C70F5" w:rsidRPr="00813039">
        <w:rPr>
          <w:rFonts w:ascii="Cambria" w:hAnsi="Cambria" w:cstheme="minorHAnsi"/>
          <w:color w:val="000000" w:themeColor="text1"/>
        </w:rPr>
        <w:t xml:space="preserve"> designation category:</w:t>
      </w:r>
    </w:p>
    <w:p w14:paraId="25CBD354" w14:textId="77777777" w:rsidR="009C70F5" w:rsidRPr="00813039" w:rsidRDefault="009C70F5" w:rsidP="00EF5C0F">
      <w:pPr>
        <w:rPr>
          <w:rFonts w:ascii="Cambria" w:hAnsi="Cambria" w:cstheme="minorHAnsi"/>
          <w:color w:val="000000" w:themeColor="text1"/>
        </w:rPr>
      </w:pPr>
    </w:p>
    <w:p w14:paraId="62B0D053" w14:textId="77777777" w:rsidR="00C25494" w:rsidRPr="00813039" w:rsidRDefault="00C25494" w:rsidP="00594AA9">
      <w:pPr>
        <w:ind w:left="360"/>
        <w:rPr>
          <w:rFonts w:ascii="Cambria" w:eastAsia="MS Mincho" w:hAnsi="Cambria" w:cstheme="minorHAnsi"/>
        </w:rPr>
      </w:pPr>
      <w:r w:rsidRPr="00813039">
        <w:rPr>
          <w:rFonts w:ascii="Cambria" w:eastAsia="MS Mincho" w:hAnsi="Cambria" w:cstheme="minorHAnsi"/>
        </w:rPr>
        <w:t>At the completion of a course fulfilling the WIL1: Writing and Information Literacy 1 requirement, students should be able to:</w:t>
      </w:r>
    </w:p>
    <w:p w14:paraId="3434E8E7" w14:textId="32A01850" w:rsidR="00C25494" w:rsidRPr="00813039" w:rsidRDefault="00C25494" w:rsidP="00594AA9">
      <w:pPr>
        <w:pStyle w:val="ListParagraph"/>
        <w:numPr>
          <w:ilvl w:val="0"/>
          <w:numId w:val="5"/>
        </w:numPr>
        <w:ind w:left="1080"/>
        <w:contextualSpacing w:val="0"/>
        <w:rPr>
          <w:rFonts w:ascii="Cambria" w:hAnsi="Cambria" w:cstheme="minorHAnsi"/>
          <w:color w:val="000000" w:themeColor="text1"/>
        </w:rPr>
      </w:pPr>
      <w:r w:rsidRPr="00813039">
        <w:rPr>
          <w:rFonts w:ascii="Cambria" w:hAnsi="Cambria" w:cstheme="minorHAnsi"/>
          <w:color w:val="000000" w:themeColor="text1"/>
        </w:rPr>
        <w:t xml:space="preserve">Write for different </w:t>
      </w:r>
      <w:r w:rsidR="00D8077E" w:rsidRPr="00813039">
        <w:rPr>
          <w:rFonts w:ascii="Cambria" w:hAnsi="Cambria" w:cstheme="minorHAnsi"/>
          <w:color w:val="000000" w:themeColor="text1"/>
        </w:rPr>
        <w:t>audiences.</w:t>
      </w:r>
    </w:p>
    <w:p w14:paraId="6CD7BD35" w14:textId="0AC307C7" w:rsidR="00C25494" w:rsidRPr="00813039" w:rsidRDefault="00C25494" w:rsidP="00594AA9">
      <w:pPr>
        <w:pStyle w:val="ListParagraph"/>
        <w:numPr>
          <w:ilvl w:val="0"/>
          <w:numId w:val="5"/>
        </w:numPr>
        <w:ind w:left="1080"/>
        <w:contextualSpacing w:val="0"/>
        <w:rPr>
          <w:rFonts w:ascii="Cambria" w:hAnsi="Cambria" w:cstheme="minorHAnsi"/>
          <w:color w:val="000000" w:themeColor="text1"/>
        </w:rPr>
      </w:pPr>
      <w:r w:rsidRPr="00813039">
        <w:rPr>
          <w:rFonts w:ascii="Cambria" w:hAnsi="Cambria" w:cstheme="minorHAnsi"/>
          <w:color w:val="000000" w:themeColor="text1"/>
        </w:rPr>
        <w:t xml:space="preserve">Pose and answer good </w:t>
      </w:r>
      <w:r w:rsidR="00D8077E" w:rsidRPr="00813039">
        <w:rPr>
          <w:rFonts w:ascii="Cambria" w:hAnsi="Cambria" w:cstheme="minorHAnsi"/>
          <w:color w:val="000000" w:themeColor="text1"/>
        </w:rPr>
        <w:t>questions.</w:t>
      </w:r>
    </w:p>
    <w:p w14:paraId="2B828B8C" w14:textId="456EEC33" w:rsidR="00C25494" w:rsidRPr="00813039" w:rsidRDefault="00C25494" w:rsidP="00594AA9">
      <w:pPr>
        <w:pStyle w:val="ListParagraph"/>
        <w:numPr>
          <w:ilvl w:val="0"/>
          <w:numId w:val="5"/>
        </w:numPr>
        <w:ind w:left="1080"/>
        <w:contextualSpacing w:val="0"/>
        <w:rPr>
          <w:rFonts w:ascii="Cambria" w:hAnsi="Cambria" w:cstheme="minorHAnsi"/>
          <w:color w:val="000000" w:themeColor="text1"/>
        </w:rPr>
      </w:pPr>
      <w:r w:rsidRPr="00813039">
        <w:rPr>
          <w:rFonts w:ascii="Cambria" w:hAnsi="Cambria" w:cstheme="minorHAnsi"/>
          <w:color w:val="000000" w:themeColor="text1"/>
        </w:rPr>
        <w:t xml:space="preserve">Engage in critical reading and </w:t>
      </w:r>
      <w:r w:rsidR="00D8077E" w:rsidRPr="00813039">
        <w:rPr>
          <w:rFonts w:ascii="Cambria" w:hAnsi="Cambria" w:cstheme="minorHAnsi"/>
          <w:color w:val="000000" w:themeColor="text1"/>
        </w:rPr>
        <w:t>reflection.</w:t>
      </w:r>
    </w:p>
    <w:p w14:paraId="4A3045E9" w14:textId="3CAED4AD" w:rsidR="00C25494" w:rsidRPr="00813039" w:rsidRDefault="00C25494" w:rsidP="00594AA9">
      <w:pPr>
        <w:pStyle w:val="ListParagraph"/>
        <w:numPr>
          <w:ilvl w:val="0"/>
          <w:numId w:val="5"/>
        </w:numPr>
        <w:ind w:left="1080"/>
        <w:contextualSpacing w:val="0"/>
        <w:rPr>
          <w:rFonts w:ascii="Cambria" w:hAnsi="Cambria" w:cstheme="minorHAnsi"/>
          <w:color w:val="000000" w:themeColor="text1"/>
        </w:rPr>
      </w:pPr>
      <w:r w:rsidRPr="00813039">
        <w:rPr>
          <w:rFonts w:ascii="Cambria" w:hAnsi="Cambria" w:cstheme="minorHAnsi"/>
          <w:color w:val="000000" w:themeColor="text1"/>
        </w:rPr>
        <w:t xml:space="preserve">Use feedback to revise and develop written </w:t>
      </w:r>
      <w:r w:rsidR="00D8077E" w:rsidRPr="00813039">
        <w:rPr>
          <w:rFonts w:ascii="Cambria" w:hAnsi="Cambria" w:cstheme="minorHAnsi"/>
          <w:color w:val="000000" w:themeColor="text1"/>
        </w:rPr>
        <w:t>work.</w:t>
      </w:r>
    </w:p>
    <w:p w14:paraId="4DC7FB3D" w14:textId="77777777" w:rsidR="009C70F5" w:rsidRPr="00813039" w:rsidRDefault="009C70F5" w:rsidP="00EF5C0F">
      <w:pPr>
        <w:pBdr>
          <w:bottom w:val="single" w:sz="6" w:space="1" w:color="auto"/>
        </w:pBdr>
        <w:rPr>
          <w:rFonts w:ascii="Cambria" w:hAnsi="Cambria" w:cstheme="minorHAnsi"/>
          <w:color w:val="000000" w:themeColor="text1"/>
        </w:rPr>
      </w:pPr>
    </w:p>
    <w:p w14:paraId="5EA3EBAC" w14:textId="77777777" w:rsidR="00C76ED7" w:rsidRPr="00813039" w:rsidRDefault="00C76ED7" w:rsidP="00EF5C0F">
      <w:pPr>
        <w:rPr>
          <w:rFonts w:ascii="Cambria" w:hAnsi="Cambria" w:cstheme="minorHAnsi"/>
          <w:b/>
          <w:bCs/>
          <w:color w:val="000000" w:themeColor="text1"/>
        </w:rPr>
      </w:pPr>
    </w:p>
    <w:p w14:paraId="3910CF21" w14:textId="77777777" w:rsidR="00781383" w:rsidRDefault="00781383" w:rsidP="00781383">
      <w:pPr>
        <w:jc w:val="center"/>
        <w:rPr>
          <w:rFonts w:ascii="Cambria" w:eastAsia="MS Mincho" w:hAnsi="Cambria" w:cs="Calibri"/>
          <w:b/>
          <w:color w:val="000000"/>
        </w:rPr>
      </w:pPr>
      <w:r w:rsidRPr="00813039">
        <w:rPr>
          <w:rFonts w:ascii="Cambria" w:eastAsia="MS Mincho" w:hAnsi="Cambria" w:cs="Calibri"/>
          <w:b/>
          <w:color w:val="000000"/>
        </w:rPr>
        <w:t>Course Information</w:t>
      </w:r>
    </w:p>
    <w:p w14:paraId="7333ABB9" w14:textId="77777777" w:rsidR="00BD25D0" w:rsidRPr="00813039" w:rsidRDefault="00BD25D0" w:rsidP="00781383">
      <w:pPr>
        <w:jc w:val="center"/>
        <w:rPr>
          <w:rFonts w:ascii="Cambria" w:eastAsia="MS Mincho" w:hAnsi="Cambria" w:cs="Calibri"/>
          <w:b/>
          <w:color w:val="000000"/>
        </w:rPr>
      </w:pPr>
    </w:p>
    <w:tbl>
      <w:tblPr>
        <w:tblStyle w:val="TableGrid"/>
        <w:tblW w:w="0" w:type="auto"/>
        <w:tblLook w:val="04A0" w:firstRow="1" w:lastRow="0" w:firstColumn="1" w:lastColumn="0" w:noHBand="0" w:noVBand="1"/>
      </w:tblPr>
      <w:tblGrid>
        <w:gridCol w:w="3325"/>
        <w:gridCol w:w="6025"/>
      </w:tblGrid>
      <w:tr w:rsidR="00781383" w:rsidRPr="00813039" w14:paraId="00C70398" w14:textId="77777777" w:rsidTr="007A1522">
        <w:tc>
          <w:tcPr>
            <w:tcW w:w="3325" w:type="dxa"/>
            <w:tcBorders>
              <w:top w:val="single" w:sz="4" w:space="0" w:color="auto"/>
              <w:left w:val="single" w:sz="4" w:space="0" w:color="auto"/>
              <w:bottom w:val="single" w:sz="4" w:space="0" w:color="auto"/>
              <w:right w:val="single" w:sz="4" w:space="0" w:color="auto"/>
            </w:tcBorders>
            <w:hideMark/>
          </w:tcPr>
          <w:p w14:paraId="54E6FBE7" w14:textId="77777777" w:rsidR="00781383" w:rsidRPr="00813039" w:rsidRDefault="00781383">
            <w:pPr>
              <w:jc w:val="right"/>
              <w:rPr>
                <w:rFonts w:ascii="Cambria" w:eastAsia="MS Mincho" w:hAnsi="Cambria" w:cs="Segoe UI"/>
                <w:b/>
              </w:rPr>
            </w:pPr>
            <w:r w:rsidRPr="00813039">
              <w:rPr>
                <w:rFonts w:ascii="Cambria" w:hAnsi="Cambria" w:cs="Segoe UI"/>
                <w:b/>
              </w:rPr>
              <w:t>Course Number:</w:t>
            </w:r>
          </w:p>
        </w:tc>
        <w:tc>
          <w:tcPr>
            <w:tcW w:w="6025" w:type="dxa"/>
            <w:tcBorders>
              <w:top w:val="single" w:sz="4" w:space="0" w:color="auto"/>
              <w:left w:val="single" w:sz="4" w:space="0" w:color="auto"/>
              <w:bottom w:val="single" w:sz="4" w:space="0" w:color="auto"/>
              <w:right w:val="single" w:sz="4" w:space="0" w:color="auto"/>
            </w:tcBorders>
          </w:tcPr>
          <w:p w14:paraId="3C5AC1BB" w14:textId="77777777" w:rsidR="00781383" w:rsidRPr="00813039" w:rsidRDefault="00781383">
            <w:pPr>
              <w:rPr>
                <w:rFonts w:ascii="Cambria" w:hAnsi="Cambria" w:cs="Segoe UI"/>
              </w:rPr>
            </w:pPr>
          </w:p>
        </w:tc>
      </w:tr>
      <w:tr w:rsidR="00781383" w:rsidRPr="00813039" w14:paraId="1ADD6976" w14:textId="77777777" w:rsidTr="007A1522">
        <w:tc>
          <w:tcPr>
            <w:tcW w:w="3325" w:type="dxa"/>
            <w:tcBorders>
              <w:top w:val="single" w:sz="4" w:space="0" w:color="auto"/>
              <w:left w:val="single" w:sz="4" w:space="0" w:color="auto"/>
              <w:bottom w:val="single" w:sz="4" w:space="0" w:color="auto"/>
              <w:right w:val="single" w:sz="4" w:space="0" w:color="auto"/>
            </w:tcBorders>
            <w:hideMark/>
          </w:tcPr>
          <w:p w14:paraId="6DE19DD5" w14:textId="77777777" w:rsidR="00781383" w:rsidRPr="00813039" w:rsidRDefault="00781383">
            <w:pPr>
              <w:jc w:val="right"/>
              <w:rPr>
                <w:rFonts w:ascii="Cambria" w:hAnsi="Cambria" w:cs="Segoe UI"/>
                <w:b/>
              </w:rPr>
            </w:pPr>
            <w:r w:rsidRPr="00813039">
              <w:rPr>
                <w:rFonts w:ascii="Cambria" w:hAnsi="Cambria" w:cs="Segoe UI"/>
                <w:b/>
              </w:rPr>
              <w:t>Course Title:</w:t>
            </w:r>
          </w:p>
        </w:tc>
        <w:tc>
          <w:tcPr>
            <w:tcW w:w="6025" w:type="dxa"/>
            <w:tcBorders>
              <w:top w:val="single" w:sz="4" w:space="0" w:color="auto"/>
              <w:left w:val="single" w:sz="4" w:space="0" w:color="auto"/>
              <w:bottom w:val="single" w:sz="4" w:space="0" w:color="auto"/>
              <w:right w:val="single" w:sz="4" w:space="0" w:color="auto"/>
            </w:tcBorders>
          </w:tcPr>
          <w:p w14:paraId="0370D664" w14:textId="77777777" w:rsidR="00781383" w:rsidRPr="00813039" w:rsidRDefault="00781383">
            <w:pPr>
              <w:rPr>
                <w:rFonts w:ascii="Cambria" w:hAnsi="Cambria" w:cs="Segoe UI"/>
              </w:rPr>
            </w:pPr>
          </w:p>
        </w:tc>
      </w:tr>
      <w:tr w:rsidR="00781383" w:rsidRPr="00813039" w14:paraId="43C924DD" w14:textId="77777777" w:rsidTr="007A1522">
        <w:tc>
          <w:tcPr>
            <w:tcW w:w="3325" w:type="dxa"/>
            <w:tcBorders>
              <w:top w:val="single" w:sz="4" w:space="0" w:color="auto"/>
              <w:left w:val="single" w:sz="4" w:space="0" w:color="auto"/>
              <w:bottom w:val="single" w:sz="4" w:space="0" w:color="auto"/>
              <w:right w:val="single" w:sz="4" w:space="0" w:color="auto"/>
            </w:tcBorders>
            <w:hideMark/>
          </w:tcPr>
          <w:p w14:paraId="3B239102" w14:textId="77777777" w:rsidR="00781383" w:rsidRPr="00813039" w:rsidRDefault="00781383">
            <w:pPr>
              <w:jc w:val="right"/>
              <w:rPr>
                <w:rFonts w:ascii="Cambria" w:hAnsi="Cambria" w:cs="Segoe UI"/>
                <w:b/>
              </w:rPr>
            </w:pPr>
            <w:r w:rsidRPr="00813039">
              <w:rPr>
                <w:rFonts w:ascii="Cambria" w:hAnsi="Cambria" w:cs="Segoe UI"/>
                <w:b/>
              </w:rPr>
              <w:t>Name of Faculty Member:</w:t>
            </w:r>
          </w:p>
        </w:tc>
        <w:tc>
          <w:tcPr>
            <w:tcW w:w="6025" w:type="dxa"/>
            <w:tcBorders>
              <w:top w:val="single" w:sz="4" w:space="0" w:color="auto"/>
              <w:left w:val="single" w:sz="4" w:space="0" w:color="auto"/>
              <w:bottom w:val="single" w:sz="4" w:space="0" w:color="auto"/>
              <w:right w:val="single" w:sz="4" w:space="0" w:color="auto"/>
            </w:tcBorders>
          </w:tcPr>
          <w:p w14:paraId="5E7EDBF5" w14:textId="77777777" w:rsidR="00781383" w:rsidRPr="00813039" w:rsidRDefault="00781383">
            <w:pPr>
              <w:rPr>
                <w:rFonts w:ascii="Cambria" w:hAnsi="Cambria" w:cs="Segoe UI"/>
              </w:rPr>
            </w:pPr>
          </w:p>
        </w:tc>
      </w:tr>
      <w:tr w:rsidR="00781383" w:rsidRPr="00813039" w14:paraId="05FC9868" w14:textId="77777777" w:rsidTr="007A1522">
        <w:tc>
          <w:tcPr>
            <w:tcW w:w="3325" w:type="dxa"/>
            <w:tcBorders>
              <w:top w:val="single" w:sz="4" w:space="0" w:color="auto"/>
              <w:left w:val="single" w:sz="4" w:space="0" w:color="auto"/>
              <w:bottom w:val="single" w:sz="4" w:space="0" w:color="auto"/>
              <w:right w:val="single" w:sz="4" w:space="0" w:color="auto"/>
            </w:tcBorders>
            <w:hideMark/>
          </w:tcPr>
          <w:p w14:paraId="16980A7B" w14:textId="77777777" w:rsidR="00781383" w:rsidRPr="00813039" w:rsidRDefault="00781383">
            <w:pPr>
              <w:jc w:val="right"/>
              <w:rPr>
                <w:rFonts w:ascii="Cambria" w:hAnsi="Cambria" w:cs="Segoe UI"/>
                <w:b/>
              </w:rPr>
            </w:pPr>
            <w:r w:rsidRPr="00813039">
              <w:rPr>
                <w:rFonts w:ascii="Cambria" w:hAnsi="Cambria" w:cs="Segoe UI"/>
                <w:b/>
              </w:rPr>
              <w:t>Email Address:</w:t>
            </w:r>
          </w:p>
        </w:tc>
        <w:tc>
          <w:tcPr>
            <w:tcW w:w="6025" w:type="dxa"/>
            <w:tcBorders>
              <w:top w:val="single" w:sz="4" w:space="0" w:color="auto"/>
              <w:left w:val="single" w:sz="4" w:space="0" w:color="auto"/>
              <w:bottom w:val="single" w:sz="4" w:space="0" w:color="auto"/>
              <w:right w:val="single" w:sz="4" w:space="0" w:color="auto"/>
            </w:tcBorders>
          </w:tcPr>
          <w:p w14:paraId="61D6BC24" w14:textId="77777777" w:rsidR="00781383" w:rsidRPr="00813039" w:rsidRDefault="00781383">
            <w:pPr>
              <w:rPr>
                <w:rFonts w:ascii="Cambria" w:hAnsi="Cambria" w:cs="Segoe UI"/>
              </w:rPr>
            </w:pPr>
          </w:p>
        </w:tc>
      </w:tr>
    </w:tbl>
    <w:p w14:paraId="466F93C4" w14:textId="77777777" w:rsidR="00781383" w:rsidRPr="00813039" w:rsidRDefault="00781383" w:rsidP="00781383">
      <w:pPr>
        <w:rPr>
          <w:rFonts w:ascii="Cambria" w:hAnsi="Cambria"/>
        </w:rPr>
      </w:pPr>
    </w:p>
    <w:tbl>
      <w:tblPr>
        <w:tblStyle w:val="TableGrid"/>
        <w:tblW w:w="0" w:type="auto"/>
        <w:tblLook w:val="04A0" w:firstRow="1" w:lastRow="0" w:firstColumn="1" w:lastColumn="0" w:noHBand="0" w:noVBand="1"/>
      </w:tblPr>
      <w:tblGrid>
        <w:gridCol w:w="4675"/>
        <w:gridCol w:w="4675"/>
      </w:tblGrid>
      <w:tr w:rsidR="00781383" w:rsidRPr="00813039" w14:paraId="235DB3F9" w14:textId="77777777" w:rsidTr="00A4722E">
        <w:tc>
          <w:tcPr>
            <w:tcW w:w="4675" w:type="dxa"/>
            <w:tcBorders>
              <w:top w:val="single" w:sz="4" w:space="0" w:color="auto"/>
              <w:left w:val="single" w:sz="4" w:space="0" w:color="auto"/>
              <w:bottom w:val="single" w:sz="4" w:space="0" w:color="auto"/>
              <w:right w:val="single" w:sz="4" w:space="0" w:color="auto"/>
            </w:tcBorders>
            <w:hideMark/>
          </w:tcPr>
          <w:p w14:paraId="418492B5" w14:textId="08FEA91C" w:rsidR="00781383" w:rsidRPr="00813039" w:rsidRDefault="00781383">
            <w:pPr>
              <w:jc w:val="right"/>
              <w:rPr>
                <w:rFonts w:ascii="Cambria" w:hAnsi="Cambria" w:cs="Segoe UI"/>
                <w:b/>
              </w:rPr>
            </w:pPr>
            <w:r w:rsidRPr="00813039">
              <w:rPr>
                <w:rFonts w:ascii="Cambria" w:hAnsi="Cambria" w:cs="Segoe UI"/>
                <w:b/>
              </w:rPr>
              <w:t xml:space="preserve">Please indicate if this course presently meets any of the </w:t>
            </w:r>
            <w:r w:rsidR="00211008" w:rsidRPr="00813039">
              <w:rPr>
                <w:rFonts w:ascii="Cambria" w:hAnsi="Cambria" w:cs="Segoe UI"/>
                <w:b/>
              </w:rPr>
              <w:t>legacy</w:t>
            </w:r>
            <w:r w:rsidRPr="00813039">
              <w:rPr>
                <w:rFonts w:ascii="Cambria" w:hAnsi="Cambria" w:cs="Segoe UI"/>
                <w:b/>
              </w:rPr>
              <w:t xml:space="preserve"> General Education requirements listed here (check all that apply):</w:t>
            </w:r>
          </w:p>
        </w:tc>
        <w:tc>
          <w:tcPr>
            <w:tcW w:w="4675" w:type="dxa"/>
            <w:tcBorders>
              <w:top w:val="single" w:sz="4" w:space="0" w:color="auto"/>
              <w:left w:val="single" w:sz="4" w:space="0" w:color="auto"/>
              <w:bottom w:val="single" w:sz="4" w:space="0" w:color="auto"/>
              <w:right w:val="single" w:sz="4" w:space="0" w:color="auto"/>
            </w:tcBorders>
            <w:vAlign w:val="center"/>
            <w:hideMark/>
          </w:tcPr>
          <w:p w14:paraId="15FCEEB1" w14:textId="77777777" w:rsidR="00781383" w:rsidRPr="00813039" w:rsidRDefault="00781383">
            <w:pPr>
              <w:jc w:val="center"/>
              <w:rPr>
                <w:rFonts w:ascii="Cambria" w:hAnsi="Cambria" w:cs="Segoe UI"/>
              </w:rPr>
            </w:pPr>
            <w:r w:rsidRPr="00813039">
              <w:rPr>
                <w:rFonts w:ascii="Cambria" w:hAnsi="Cambria" w:cs="Segoe UI"/>
              </w:rPr>
              <w:t>____D1    ____D2    ____FWIL    ____QR    ____SU</w:t>
            </w:r>
          </w:p>
        </w:tc>
      </w:tr>
    </w:tbl>
    <w:p w14:paraId="5CCE2FB9" w14:textId="130BB814" w:rsidR="00781383" w:rsidRPr="00813039" w:rsidRDefault="00781383" w:rsidP="00781383">
      <w:pPr>
        <w:jc w:val="right"/>
        <w:rPr>
          <w:rFonts w:ascii="Cambria" w:hAnsi="Cambria" w:cs="Segoe UI"/>
        </w:rPr>
      </w:pPr>
      <w:r w:rsidRPr="00813039">
        <w:rPr>
          <w:rFonts w:ascii="Cambria" w:hAnsi="Cambria"/>
        </w:rPr>
        <w:br/>
      </w:r>
      <w:r w:rsidRPr="00813039">
        <w:rPr>
          <w:rFonts w:ascii="Cambria" w:hAnsi="Cambria" w:cs="Segoe UI"/>
        </w:rPr>
        <w:t>[v. 1, 09/2023]</w:t>
      </w:r>
    </w:p>
    <w:p w14:paraId="5CDFFBA4" w14:textId="77777777" w:rsidR="00C76ED7" w:rsidRPr="00813039" w:rsidRDefault="00C76ED7" w:rsidP="00EF5C0F">
      <w:pPr>
        <w:rPr>
          <w:rFonts w:ascii="Cambria" w:hAnsi="Cambria" w:cstheme="minorHAnsi"/>
          <w:b/>
          <w:bCs/>
          <w:color w:val="000000" w:themeColor="text1"/>
        </w:rPr>
      </w:pPr>
    </w:p>
    <w:p w14:paraId="15224E9F" w14:textId="43A184D2" w:rsidR="00781383" w:rsidRPr="00813039" w:rsidRDefault="00781383">
      <w:pPr>
        <w:rPr>
          <w:rFonts w:ascii="Cambria" w:hAnsi="Cambria" w:cstheme="minorHAnsi"/>
          <w:b/>
          <w:bCs/>
          <w:color w:val="000000" w:themeColor="text1"/>
        </w:rPr>
      </w:pPr>
      <w:r w:rsidRPr="00813039">
        <w:rPr>
          <w:rFonts w:ascii="Cambria" w:hAnsi="Cambria" w:cstheme="minorHAnsi"/>
          <w:b/>
          <w:bCs/>
          <w:color w:val="000000" w:themeColor="text1"/>
        </w:rPr>
        <w:br w:type="page"/>
      </w:r>
    </w:p>
    <w:p w14:paraId="0BFE420F" w14:textId="602EE1A8" w:rsidR="009C70F5" w:rsidRPr="00813039" w:rsidRDefault="009C70F5" w:rsidP="00EF5C0F">
      <w:pPr>
        <w:rPr>
          <w:rFonts w:ascii="Cambria" w:hAnsi="Cambria" w:cstheme="minorHAnsi"/>
          <w:b/>
          <w:bCs/>
          <w:color w:val="000000" w:themeColor="text1"/>
        </w:rPr>
      </w:pPr>
      <w:r w:rsidRPr="00813039">
        <w:rPr>
          <w:rFonts w:ascii="Cambria" w:hAnsi="Cambria" w:cstheme="minorHAnsi"/>
          <w:b/>
          <w:bCs/>
          <w:color w:val="000000" w:themeColor="text1"/>
        </w:rPr>
        <w:lastRenderedPageBreak/>
        <w:t>Submission Process:</w:t>
      </w:r>
    </w:p>
    <w:p w14:paraId="3438E655" w14:textId="77777777" w:rsidR="009C70F5" w:rsidRPr="00813039" w:rsidRDefault="009C70F5" w:rsidP="00EF5C0F">
      <w:pPr>
        <w:rPr>
          <w:rFonts w:ascii="Cambria" w:hAnsi="Cambria" w:cstheme="minorHAnsi"/>
          <w:color w:val="000000" w:themeColor="text1"/>
        </w:rPr>
      </w:pPr>
    </w:p>
    <w:p w14:paraId="05E91D27" w14:textId="77777777" w:rsidR="009C70F5" w:rsidRPr="00813039" w:rsidRDefault="009C70F5" w:rsidP="0092346A">
      <w:pPr>
        <w:rPr>
          <w:rFonts w:ascii="Cambria" w:hAnsi="Cambria" w:cstheme="minorHAnsi"/>
          <w:color w:val="000000" w:themeColor="text1"/>
        </w:rPr>
      </w:pPr>
      <w:r w:rsidRPr="00813039">
        <w:rPr>
          <w:rFonts w:ascii="Cambria" w:hAnsi="Cambria" w:cstheme="minorHAnsi"/>
          <w:color w:val="000000" w:themeColor="text1"/>
        </w:rPr>
        <w:t>The overall purpose of the submission process for all Catamount Core requirements is to maintain the integrity of the general education curriculum at UVM and to ensure that approved courses maintain alignment with the learning outcomes for the corresponding Catamount Core category. The review process can result in 1 of 3 outcomes:</w:t>
      </w:r>
    </w:p>
    <w:p w14:paraId="5B102594" w14:textId="77777777" w:rsidR="009C70F5" w:rsidRPr="00813039" w:rsidRDefault="009C70F5" w:rsidP="00EF5C0F">
      <w:pPr>
        <w:rPr>
          <w:rFonts w:ascii="Cambria" w:hAnsi="Cambria" w:cstheme="minorHAnsi"/>
          <w:color w:val="000000" w:themeColor="text1"/>
        </w:rPr>
      </w:pPr>
    </w:p>
    <w:p w14:paraId="157E7263" w14:textId="77777777" w:rsidR="009C70F5" w:rsidRPr="00813039" w:rsidRDefault="009C70F5" w:rsidP="00EF5C0F">
      <w:pPr>
        <w:pStyle w:val="ListParagraph"/>
        <w:numPr>
          <w:ilvl w:val="0"/>
          <w:numId w:val="3"/>
        </w:numPr>
        <w:rPr>
          <w:rFonts w:ascii="Cambria" w:hAnsi="Cambria" w:cstheme="minorHAnsi"/>
          <w:color w:val="000000" w:themeColor="text1"/>
        </w:rPr>
      </w:pPr>
      <w:r w:rsidRPr="00813039">
        <w:rPr>
          <w:rFonts w:ascii="Cambria" w:hAnsi="Cambria" w:cstheme="minorHAnsi"/>
          <w:color w:val="000000" w:themeColor="text1"/>
          <w:u w:val="single"/>
        </w:rPr>
        <w:t>Approval</w:t>
      </w:r>
      <w:r w:rsidRPr="00813039">
        <w:rPr>
          <w:rFonts w:ascii="Cambria" w:hAnsi="Cambria" w:cstheme="minorHAnsi"/>
          <w:color w:val="000000" w:themeColor="text1"/>
        </w:rPr>
        <w:t xml:space="preserve"> (the course will be assigned the requested Catamount Core designation for a 5 year-period)</w:t>
      </w:r>
    </w:p>
    <w:p w14:paraId="2EF70EB7" w14:textId="77777777" w:rsidR="009C70F5" w:rsidRPr="00813039" w:rsidRDefault="009C70F5" w:rsidP="00EF5C0F">
      <w:pPr>
        <w:pStyle w:val="ListParagraph"/>
        <w:numPr>
          <w:ilvl w:val="0"/>
          <w:numId w:val="3"/>
        </w:numPr>
        <w:rPr>
          <w:rFonts w:ascii="Cambria" w:hAnsi="Cambria" w:cstheme="minorHAnsi"/>
          <w:color w:val="000000" w:themeColor="text1"/>
        </w:rPr>
      </w:pPr>
      <w:r w:rsidRPr="00813039">
        <w:rPr>
          <w:rFonts w:ascii="Cambria" w:hAnsi="Cambria" w:cstheme="minorHAnsi"/>
          <w:color w:val="000000" w:themeColor="text1"/>
          <w:u w:val="single"/>
        </w:rPr>
        <w:t>Revisions requested</w:t>
      </w:r>
      <w:r w:rsidRPr="00813039">
        <w:rPr>
          <w:rFonts w:ascii="Cambria" w:hAnsi="Cambria" w:cstheme="minorHAnsi"/>
          <w:color w:val="000000" w:themeColor="text1"/>
        </w:rPr>
        <w:t xml:space="preserve"> (the review committee may ask for changes made to the course or for additional information prior to approval)</w:t>
      </w:r>
    </w:p>
    <w:p w14:paraId="56FC58A6" w14:textId="77777777" w:rsidR="009C70F5" w:rsidRPr="00813039" w:rsidRDefault="009C70F5" w:rsidP="00EF5C0F">
      <w:pPr>
        <w:pStyle w:val="ListParagraph"/>
        <w:numPr>
          <w:ilvl w:val="0"/>
          <w:numId w:val="3"/>
        </w:numPr>
        <w:rPr>
          <w:rFonts w:ascii="Cambria" w:hAnsi="Cambria" w:cstheme="minorHAnsi"/>
          <w:color w:val="000000" w:themeColor="text1"/>
        </w:rPr>
      </w:pPr>
      <w:r w:rsidRPr="00813039">
        <w:rPr>
          <w:rFonts w:ascii="Cambria" w:hAnsi="Cambria" w:cstheme="minorHAnsi"/>
          <w:color w:val="000000" w:themeColor="text1"/>
          <w:u w:val="single"/>
        </w:rPr>
        <w:t>Rejection</w:t>
      </w:r>
      <w:r w:rsidRPr="00813039">
        <w:rPr>
          <w:rFonts w:ascii="Cambria" w:hAnsi="Cambria" w:cstheme="minorHAnsi"/>
          <w:color w:val="000000" w:themeColor="text1"/>
        </w:rPr>
        <w:t xml:space="preserve"> (the course as currently constructed and/or presented in the submission materials does not meet the approval criteria designation)</w:t>
      </w:r>
    </w:p>
    <w:p w14:paraId="29E1ADCD" w14:textId="77777777" w:rsidR="009C70F5" w:rsidRPr="00813039" w:rsidRDefault="009C70F5" w:rsidP="00EF5C0F">
      <w:pPr>
        <w:rPr>
          <w:rFonts w:ascii="Cambria" w:hAnsi="Cambria" w:cstheme="minorHAnsi"/>
          <w:color w:val="000000" w:themeColor="text1"/>
        </w:rPr>
      </w:pPr>
    </w:p>
    <w:p w14:paraId="51D54E9D" w14:textId="3B79C9D0" w:rsidR="009C70F5" w:rsidRPr="00813039" w:rsidRDefault="009C70F5" w:rsidP="00EF5C0F">
      <w:pPr>
        <w:rPr>
          <w:rFonts w:ascii="Cambria" w:hAnsi="Cambria" w:cstheme="minorHAnsi"/>
          <w:color w:val="000000" w:themeColor="text1"/>
        </w:rPr>
      </w:pPr>
      <w:r w:rsidRPr="00813039">
        <w:rPr>
          <w:rFonts w:ascii="Cambria" w:hAnsi="Cambria" w:cstheme="minorHAnsi"/>
          <w:color w:val="000000" w:themeColor="text1"/>
        </w:rPr>
        <w:t>Please complete the following three components and attach them to your Course</w:t>
      </w:r>
      <w:r w:rsidR="00986E34" w:rsidRPr="00813039">
        <w:rPr>
          <w:rFonts w:ascii="Cambria" w:hAnsi="Cambria" w:cstheme="minorHAnsi"/>
          <w:color w:val="000000" w:themeColor="text1"/>
        </w:rPr>
        <w:t>L</w:t>
      </w:r>
      <w:r w:rsidRPr="00813039">
        <w:rPr>
          <w:rFonts w:ascii="Cambria" w:hAnsi="Cambria" w:cstheme="minorHAnsi"/>
          <w:color w:val="000000" w:themeColor="text1"/>
        </w:rPr>
        <w:t xml:space="preserve">eaf submission; the syllabus </w:t>
      </w:r>
      <w:r w:rsidRPr="00813039">
        <w:rPr>
          <w:rFonts w:ascii="Cambria" w:hAnsi="Cambria" w:cstheme="minorHAnsi"/>
          <w:i/>
          <w:iCs/>
          <w:color w:val="000000" w:themeColor="text1"/>
        </w:rPr>
        <w:t>and</w:t>
      </w:r>
      <w:r w:rsidRPr="00813039">
        <w:rPr>
          <w:rFonts w:ascii="Cambria" w:hAnsi="Cambria" w:cstheme="minorHAnsi"/>
          <w:color w:val="000000" w:themeColor="text1"/>
        </w:rPr>
        <w:t xml:space="preserve"> either a brief narrative </w:t>
      </w:r>
      <w:r w:rsidRPr="00813039">
        <w:rPr>
          <w:rFonts w:ascii="Cambria" w:hAnsi="Cambria" w:cstheme="minorHAnsi"/>
          <w:i/>
          <w:iCs/>
          <w:color w:val="000000" w:themeColor="text1"/>
        </w:rPr>
        <w:t>or</w:t>
      </w:r>
      <w:r w:rsidRPr="00813039">
        <w:rPr>
          <w:rFonts w:ascii="Cambria" w:hAnsi="Cambria" w:cstheme="minorHAnsi"/>
          <w:color w:val="000000" w:themeColor="text1"/>
        </w:rPr>
        <w:t xml:space="preserve"> detailed information in the outcomes chart are required to assess your course for designation in this category. Faculty may choose to include all three components if that is helpful in providing the committee with necessary information:</w:t>
      </w:r>
    </w:p>
    <w:p w14:paraId="7F35BF43" w14:textId="77777777" w:rsidR="009C70F5" w:rsidRPr="00813039" w:rsidRDefault="009C70F5" w:rsidP="00EF5C0F">
      <w:pPr>
        <w:rPr>
          <w:rFonts w:ascii="Cambria" w:hAnsi="Cambria" w:cstheme="minorHAnsi"/>
          <w:color w:val="000000" w:themeColor="text1"/>
        </w:rPr>
      </w:pPr>
    </w:p>
    <w:p w14:paraId="4BF77290" w14:textId="4A3FF858" w:rsidR="009C70F5" w:rsidRPr="00813039" w:rsidRDefault="009C70F5" w:rsidP="00EF5C0F">
      <w:pPr>
        <w:pStyle w:val="ListParagraph"/>
        <w:numPr>
          <w:ilvl w:val="0"/>
          <w:numId w:val="4"/>
        </w:numPr>
        <w:rPr>
          <w:rFonts w:ascii="Cambria" w:hAnsi="Cambria" w:cstheme="minorHAnsi"/>
          <w:color w:val="000000" w:themeColor="text1"/>
        </w:rPr>
      </w:pPr>
      <w:r w:rsidRPr="00813039">
        <w:rPr>
          <w:rFonts w:ascii="Cambria" w:hAnsi="Cambria" w:cstheme="minorHAnsi"/>
          <w:color w:val="000000" w:themeColor="text1"/>
        </w:rPr>
        <w:t>A sample course syllabus that includes the required statement above as well as listing the WIL</w:t>
      </w:r>
      <w:r w:rsidR="00A71C06" w:rsidRPr="00813039">
        <w:rPr>
          <w:rFonts w:ascii="Cambria" w:hAnsi="Cambria" w:cstheme="minorHAnsi"/>
          <w:color w:val="000000" w:themeColor="text1"/>
        </w:rPr>
        <w:t>1</w:t>
      </w:r>
      <w:r w:rsidRPr="00813039">
        <w:rPr>
          <w:rFonts w:ascii="Cambria" w:hAnsi="Cambria" w:cstheme="minorHAnsi"/>
          <w:color w:val="000000" w:themeColor="text1"/>
        </w:rPr>
        <w:t xml:space="preserve"> outcomes;</w:t>
      </w:r>
    </w:p>
    <w:p w14:paraId="6EF2D6A7" w14:textId="77777777" w:rsidR="009C70F5" w:rsidRPr="00813039" w:rsidRDefault="009C70F5" w:rsidP="00EF5C0F">
      <w:pPr>
        <w:ind w:left="360"/>
        <w:rPr>
          <w:rFonts w:ascii="Cambria" w:hAnsi="Cambria" w:cstheme="minorHAnsi"/>
          <w:color w:val="000000" w:themeColor="text1"/>
        </w:rPr>
      </w:pPr>
    </w:p>
    <w:p w14:paraId="7521A46C" w14:textId="1329DCC1" w:rsidR="009C70F5" w:rsidRPr="00813039" w:rsidRDefault="00D76C8D" w:rsidP="00CB6B15">
      <w:pPr>
        <w:pStyle w:val="ListParagraph"/>
        <w:ind w:left="360" w:firstLine="360"/>
        <w:rPr>
          <w:rFonts w:ascii="Cambria" w:hAnsi="Cambria" w:cstheme="minorHAnsi"/>
          <w:color w:val="000000" w:themeColor="text1"/>
        </w:rPr>
      </w:pPr>
      <w:r w:rsidRPr="00813039">
        <w:rPr>
          <w:rFonts w:ascii="Cambria" w:hAnsi="Cambria" w:cstheme="minorHAnsi"/>
          <w:b/>
          <w:bCs/>
          <w:color w:val="000000" w:themeColor="text1"/>
        </w:rPr>
        <w:t>PLUS,</w:t>
      </w:r>
      <w:r w:rsidR="009C70F5" w:rsidRPr="00813039">
        <w:rPr>
          <w:rFonts w:ascii="Cambria" w:hAnsi="Cambria" w:cstheme="minorHAnsi"/>
          <w:color w:val="000000" w:themeColor="text1"/>
        </w:rPr>
        <w:t xml:space="preserve"> either a brief narrative or the filled-outcomes chart, or both:</w:t>
      </w:r>
    </w:p>
    <w:p w14:paraId="26ADC8D5" w14:textId="77777777" w:rsidR="009C70F5" w:rsidRPr="00813039" w:rsidRDefault="009C70F5" w:rsidP="00EF5C0F">
      <w:pPr>
        <w:pStyle w:val="ListParagraph"/>
        <w:ind w:left="360"/>
        <w:rPr>
          <w:rFonts w:ascii="Cambria" w:hAnsi="Cambria" w:cstheme="minorHAnsi"/>
          <w:color w:val="000000" w:themeColor="text1"/>
        </w:rPr>
      </w:pPr>
    </w:p>
    <w:p w14:paraId="73FE681F" w14:textId="59E91B88" w:rsidR="009C70F5" w:rsidRPr="00813039" w:rsidRDefault="009C70F5" w:rsidP="00EF5C0F">
      <w:pPr>
        <w:pStyle w:val="ListParagraph"/>
        <w:numPr>
          <w:ilvl w:val="0"/>
          <w:numId w:val="4"/>
        </w:numPr>
        <w:rPr>
          <w:rFonts w:ascii="Cambria" w:hAnsi="Cambria" w:cstheme="minorHAnsi"/>
          <w:color w:val="000000" w:themeColor="text1"/>
        </w:rPr>
      </w:pPr>
      <w:r w:rsidRPr="00813039">
        <w:rPr>
          <w:rFonts w:ascii="Cambria" w:hAnsi="Cambria" w:cstheme="minorHAnsi"/>
          <w:color w:val="000000" w:themeColor="text1"/>
        </w:rPr>
        <w:t>A brief narrative (no more than 1.5 single-spaced pages) that addresses the following:</w:t>
      </w:r>
      <w:r w:rsidR="005707A4">
        <w:rPr>
          <w:rFonts w:ascii="Cambria" w:hAnsi="Cambria" w:cstheme="minorHAnsi"/>
          <w:color w:val="000000" w:themeColor="text1"/>
        </w:rPr>
        <w:br/>
      </w:r>
    </w:p>
    <w:p w14:paraId="01ED57D0" w14:textId="3B55BF42" w:rsidR="009C70F5" w:rsidRPr="00813039" w:rsidRDefault="009C70F5" w:rsidP="00EF5C0F">
      <w:pPr>
        <w:pStyle w:val="ListParagraph"/>
        <w:numPr>
          <w:ilvl w:val="1"/>
          <w:numId w:val="4"/>
        </w:numPr>
        <w:rPr>
          <w:rFonts w:ascii="Cambria" w:hAnsi="Cambria" w:cstheme="minorHAnsi"/>
          <w:color w:val="000000" w:themeColor="text1"/>
        </w:rPr>
      </w:pPr>
      <w:r w:rsidRPr="00813039">
        <w:rPr>
          <w:rFonts w:ascii="Cambria" w:hAnsi="Cambria" w:cstheme="minorHAnsi"/>
          <w:color w:val="000000" w:themeColor="text1"/>
        </w:rPr>
        <w:t xml:space="preserve">Briefly describe how the course meets the approval criteria below. </w:t>
      </w:r>
      <w:r w:rsidR="005707A4">
        <w:rPr>
          <w:rFonts w:ascii="Cambria" w:hAnsi="Cambria" w:cstheme="minorHAnsi"/>
          <w:color w:val="000000" w:themeColor="text1"/>
        </w:rPr>
        <w:br/>
      </w:r>
    </w:p>
    <w:p w14:paraId="094E856E" w14:textId="4AFAF53E" w:rsidR="009C70F5" w:rsidRPr="00813039" w:rsidRDefault="009C70F5" w:rsidP="00EF5C0F">
      <w:pPr>
        <w:pStyle w:val="ListParagraph"/>
        <w:numPr>
          <w:ilvl w:val="1"/>
          <w:numId w:val="4"/>
        </w:numPr>
        <w:rPr>
          <w:rFonts w:ascii="Cambria" w:hAnsi="Cambria" w:cstheme="minorHAnsi"/>
          <w:color w:val="000000" w:themeColor="text1"/>
        </w:rPr>
      </w:pPr>
      <w:r w:rsidRPr="00813039">
        <w:rPr>
          <w:rFonts w:ascii="Cambria" w:hAnsi="Cambria" w:cstheme="minorHAnsi"/>
          <w:color w:val="000000" w:themeColor="text1"/>
        </w:rPr>
        <w:t>If not including the outcomes chart below, briefly summarize relevant topics/and learning activities and how and where students’ achievement of the WIL</w:t>
      </w:r>
      <w:r w:rsidR="00A71C06" w:rsidRPr="00813039">
        <w:rPr>
          <w:rFonts w:ascii="Cambria" w:hAnsi="Cambria" w:cstheme="minorHAnsi"/>
          <w:color w:val="000000" w:themeColor="text1"/>
        </w:rPr>
        <w:t>1</w:t>
      </w:r>
      <w:r w:rsidRPr="00813039">
        <w:rPr>
          <w:rFonts w:ascii="Cambria" w:hAnsi="Cambria" w:cstheme="minorHAnsi"/>
          <w:color w:val="000000" w:themeColor="text1"/>
        </w:rPr>
        <w:t xml:space="preserve"> requirement outcomes will be assessed (</w:t>
      </w:r>
      <w:r w:rsidR="00D76C8D" w:rsidRPr="00813039">
        <w:rPr>
          <w:rFonts w:ascii="Cambria" w:hAnsi="Cambria" w:cstheme="minorHAnsi"/>
          <w:color w:val="000000" w:themeColor="text1"/>
        </w:rPr>
        <w:t>e.g.,</w:t>
      </w:r>
      <w:r w:rsidRPr="00813039">
        <w:rPr>
          <w:rFonts w:ascii="Cambria" w:hAnsi="Cambria" w:cstheme="minorHAnsi"/>
          <w:color w:val="000000" w:themeColor="text1"/>
        </w:rPr>
        <w:t xml:space="preserve"> research paper; creative work; exam question; presentation);</w:t>
      </w:r>
      <w:r w:rsidR="005707A4">
        <w:rPr>
          <w:rFonts w:ascii="Cambria" w:hAnsi="Cambria" w:cstheme="minorHAnsi"/>
          <w:color w:val="000000" w:themeColor="text1"/>
        </w:rPr>
        <w:br/>
      </w:r>
    </w:p>
    <w:p w14:paraId="24618FA7" w14:textId="1A500D40" w:rsidR="009C70F5" w:rsidRPr="00813039" w:rsidRDefault="005707A4" w:rsidP="00EF5C0F">
      <w:pPr>
        <w:pStyle w:val="ListParagraph"/>
        <w:numPr>
          <w:ilvl w:val="1"/>
          <w:numId w:val="4"/>
        </w:numPr>
        <w:rPr>
          <w:rFonts w:ascii="Cambria" w:hAnsi="Cambria" w:cstheme="minorHAnsi"/>
          <w:color w:val="000000" w:themeColor="text1"/>
        </w:rPr>
      </w:pPr>
      <w:r>
        <w:rPr>
          <w:rFonts w:ascii="Cambria" w:hAnsi="Cambria" w:cstheme="minorHAnsi"/>
          <w:color w:val="000000" w:themeColor="text1"/>
        </w:rPr>
        <w:t>A</w:t>
      </w:r>
      <w:r w:rsidR="009C70F5" w:rsidRPr="00813039">
        <w:rPr>
          <w:rFonts w:ascii="Cambria" w:hAnsi="Cambria" w:cstheme="minorHAnsi"/>
          <w:color w:val="000000" w:themeColor="text1"/>
        </w:rPr>
        <w:t xml:space="preserve">ny other contextual information that can assist the committee in its </w:t>
      </w:r>
      <w:r w:rsidR="00D76C8D" w:rsidRPr="00813039">
        <w:rPr>
          <w:rFonts w:ascii="Cambria" w:hAnsi="Cambria" w:cstheme="minorHAnsi"/>
          <w:color w:val="000000" w:themeColor="text1"/>
        </w:rPr>
        <w:t>review</w:t>
      </w:r>
      <w:r w:rsidR="001E424A" w:rsidRPr="00813039">
        <w:rPr>
          <w:rFonts w:ascii="Cambria" w:hAnsi="Cambria" w:cstheme="minorHAnsi"/>
          <w:color w:val="000000" w:themeColor="text1"/>
        </w:rPr>
        <w:t xml:space="preserve">. </w:t>
      </w:r>
    </w:p>
    <w:p w14:paraId="4DD0B719" w14:textId="77777777" w:rsidR="009C70F5" w:rsidRPr="00813039" w:rsidRDefault="009C70F5" w:rsidP="00EF5C0F">
      <w:pPr>
        <w:pStyle w:val="ListParagraph"/>
        <w:ind w:left="1440"/>
        <w:rPr>
          <w:rFonts w:ascii="Cambria" w:hAnsi="Cambria" w:cstheme="minorHAnsi"/>
          <w:color w:val="000000" w:themeColor="text1"/>
        </w:rPr>
      </w:pPr>
    </w:p>
    <w:p w14:paraId="5B0D28F0" w14:textId="493E0439" w:rsidR="009C70F5" w:rsidRPr="00813039" w:rsidRDefault="009C70F5" w:rsidP="00EF5C0F">
      <w:pPr>
        <w:pStyle w:val="ListParagraph"/>
        <w:numPr>
          <w:ilvl w:val="0"/>
          <w:numId w:val="4"/>
        </w:numPr>
        <w:ind w:left="810"/>
        <w:rPr>
          <w:rFonts w:ascii="Cambria" w:hAnsi="Cambria" w:cstheme="minorHAnsi"/>
          <w:color w:val="000000" w:themeColor="text1"/>
        </w:rPr>
      </w:pPr>
      <w:r w:rsidRPr="00813039">
        <w:rPr>
          <w:rFonts w:ascii="Cambria" w:hAnsi="Cambria" w:cstheme="minorHAnsi"/>
          <w:color w:val="000000" w:themeColor="text1"/>
        </w:rPr>
        <w:t>The student learning outcomes chart provided below. Indicate for each student learning outcome: activities and topics that will support their learning in this area; and the means by which student achievement of each outcome will be assessed (</w:t>
      </w:r>
      <w:r w:rsidR="00D76C8D" w:rsidRPr="00813039">
        <w:rPr>
          <w:rFonts w:ascii="Cambria" w:hAnsi="Cambria" w:cstheme="minorHAnsi"/>
          <w:color w:val="000000" w:themeColor="text1"/>
        </w:rPr>
        <w:t>e.g.,</w:t>
      </w:r>
      <w:r w:rsidRPr="00813039">
        <w:rPr>
          <w:rFonts w:ascii="Cambria" w:hAnsi="Cambria" w:cstheme="minorHAnsi"/>
          <w:color w:val="000000" w:themeColor="text1"/>
        </w:rPr>
        <w:t xml:space="preserve"> research paper; creative work; exam question; presentation).</w:t>
      </w:r>
    </w:p>
    <w:p w14:paraId="22E86218" w14:textId="77777777" w:rsidR="009C70F5" w:rsidRPr="00813039" w:rsidRDefault="009C70F5" w:rsidP="00EF5C0F">
      <w:pPr>
        <w:rPr>
          <w:rFonts w:ascii="Cambria" w:eastAsia="Times New Roman" w:hAnsi="Cambria" w:cstheme="minorHAnsi"/>
          <w:b/>
          <w:bCs/>
          <w:color w:val="000000" w:themeColor="text1"/>
        </w:rPr>
      </w:pPr>
    </w:p>
    <w:p w14:paraId="06C0C3EE" w14:textId="77777777" w:rsidR="005E34D4" w:rsidRDefault="005E34D4">
      <w:pPr>
        <w:rPr>
          <w:rFonts w:ascii="Cambria" w:eastAsia="Times New Roman" w:hAnsi="Cambria" w:cstheme="minorHAnsi"/>
          <w:b/>
          <w:bCs/>
          <w:color w:val="000000" w:themeColor="text1"/>
        </w:rPr>
      </w:pPr>
      <w:r>
        <w:rPr>
          <w:rFonts w:ascii="Cambria" w:eastAsia="Times New Roman" w:hAnsi="Cambria" w:cstheme="minorHAnsi"/>
          <w:b/>
          <w:bCs/>
          <w:color w:val="000000" w:themeColor="text1"/>
        </w:rPr>
        <w:br w:type="page"/>
      </w:r>
    </w:p>
    <w:p w14:paraId="48080391" w14:textId="6979F534" w:rsidR="009C70F5" w:rsidRPr="00813039" w:rsidRDefault="009C70F5" w:rsidP="00EF5C0F">
      <w:pPr>
        <w:rPr>
          <w:rFonts w:ascii="Cambria" w:eastAsia="Times New Roman" w:hAnsi="Cambria" w:cstheme="minorHAnsi"/>
          <w:b/>
          <w:bCs/>
          <w:color w:val="000000" w:themeColor="text1"/>
        </w:rPr>
      </w:pPr>
      <w:r w:rsidRPr="00813039">
        <w:rPr>
          <w:rFonts w:ascii="Cambria" w:eastAsia="Times New Roman" w:hAnsi="Cambria" w:cstheme="minorHAnsi"/>
          <w:b/>
          <w:bCs/>
          <w:color w:val="000000" w:themeColor="text1"/>
        </w:rPr>
        <w:lastRenderedPageBreak/>
        <w:t>Approval Criteria for WIL</w:t>
      </w:r>
      <w:r w:rsidR="00A71C06" w:rsidRPr="00813039">
        <w:rPr>
          <w:rFonts w:ascii="Cambria" w:eastAsia="Times New Roman" w:hAnsi="Cambria" w:cstheme="minorHAnsi"/>
          <w:b/>
          <w:bCs/>
          <w:color w:val="000000" w:themeColor="text1"/>
        </w:rPr>
        <w:t>1</w:t>
      </w:r>
      <w:r w:rsidRPr="00813039">
        <w:rPr>
          <w:rFonts w:ascii="Cambria" w:eastAsia="Times New Roman" w:hAnsi="Cambria" w:cstheme="minorHAnsi"/>
          <w:b/>
          <w:bCs/>
          <w:color w:val="000000" w:themeColor="text1"/>
        </w:rPr>
        <w:t xml:space="preserve"> Courses</w:t>
      </w:r>
    </w:p>
    <w:p w14:paraId="767DAB23" w14:textId="77777777" w:rsidR="009C70F5" w:rsidRPr="00813039" w:rsidRDefault="009C70F5" w:rsidP="00EF5C0F">
      <w:pPr>
        <w:rPr>
          <w:rFonts w:ascii="Cambria" w:eastAsia="Times New Roman" w:hAnsi="Cambria" w:cstheme="minorHAnsi"/>
          <w:b/>
          <w:bCs/>
          <w:color w:val="000000" w:themeColor="text1"/>
        </w:rPr>
      </w:pPr>
    </w:p>
    <w:p w14:paraId="44411EBC" w14:textId="3587A71A" w:rsidR="009C70F5" w:rsidRPr="00813039" w:rsidRDefault="009C70F5" w:rsidP="00EF5C0F">
      <w:pPr>
        <w:rPr>
          <w:rFonts w:ascii="Cambria" w:hAnsi="Cambria" w:cstheme="minorHAnsi"/>
        </w:rPr>
      </w:pPr>
      <w:r w:rsidRPr="00813039">
        <w:rPr>
          <w:rFonts w:ascii="Cambria" w:eastAsia="Times New Roman" w:hAnsi="Cambria" w:cstheme="minorHAnsi"/>
          <w:color w:val="000000" w:themeColor="text1"/>
        </w:rPr>
        <w:t>Courses approved to fulfill the WIL</w:t>
      </w:r>
      <w:r w:rsidR="00A71C06" w:rsidRPr="00813039">
        <w:rPr>
          <w:rFonts w:ascii="Cambria" w:eastAsia="Times New Roman" w:hAnsi="Cambria" w:cstheme="minorHAnsi"/>
          <w:color w:val="000000" w:themeColor="text1"/>
        </w:rPr>
        <w:t>1</w:t>
      </w:r>
      <w:r w:rsidRPr="00813039">
        <w:rPr>
          <w:rFonts w:ascii="Cambria" w:eastAsia="Times New Roman" w:hAnsi="Cambria" w:cstheme="minorHAnsi"/>
          <w:color w:val="000000" w:themeColor="text1"/>
        </w:rPr>
        <w:t xml:space="preserve"> requirement must be at least 3 credits and</w:t>
      </w:r>
      <w:r w:rsidR="00A71C06" w:rsidRPr="00813039">
        <w:rPr>
          <w:rFonts w:ascii="Cambria" w:eastAsia="Times New Roman" w:hAnsi="Cambria" w:cstheme="minorHAnsi"/>
          <w:color w:val="000000" w:themeColor="text1"/>
        </w:rPr>
        <w:t xml:space="preserve"> </w:t>
      </w:r>
      <w:r w:rsidR="00A71C06" w:rsidRPr="00813039">
        <w:rPr>
          <w:rFonts w:ascii="Cambria" w:hAnsi="Cambria" w:cstheme="minorHAnsi"/>
        </w:rPr>
        <w:t>should include assignments and activities to develop the following four learning goals: rhetorical discernment, information literacy, critical reading, and substantive revision. T</w:t>
      </w:r>
      <w:r w:rsidRPr="00813039">
        <w:rPr>
          <w:rFonts w:ascii="Cambria" w:eastAsia="Times New Roman" w:hAnsi="Cambria" w:cstheme="minorHAnsi"/>
          <w:color w:val="000000" w:themeColor="text1"/>
        </w:rPr>
        <w:t>he course must address and assess all of the student learning outcomes listed below.</w:t>
      </w:r>
    </w:p>
    <w:p w14:paraId="1144DD87" w14:textId="77777777" w:rsidR="009C70F5" w:rsidRPr="00813039" w:rsidRDefault="009C70F5" w:rsidP="00EF5C0F">
      <w:pPr>
        <w:rPr>
          <w:rFonts w:ascii="Cambria" w:eastAsia="Times New Roman" w:hAnsi="Cambria" w:cstheme="minorHAnsi"/>
        </w:rPr>
      </w:pPr>
    </w:p>
    <w:p w14:paraId="24C222AD" w14:textId="2C29347D" w:rsidR="009C70F5" w:rsidRPr="00813039" w:rsidRDefault="009C70F5" w:rsidP="00EF5C0F">
      <w:pPr>
        <w:rPr>
          <w:rFonts w:ascii="Cambria" w:eastAsia="Times New Roman" w:hAnsi="Cambria" w:cstheme="minorHAnsi"/>
          <w:b/>
          <w:bCs/>
          <w:u w:val="single"/>
        </w:rPr>
      </w:pPr>
      <w:r w:rsidRPr="00813039">
        <w:rPr>
          <w:rFonts w:ascii="Cambria" w:eastAsia="Times New Roman" w:hAnsi="Cambria" w:cstheme="minorHAnsi"/>
          <w:b/>
          <w:bCs/>
          <w:u w:val="single"/>
        </w:rPr>
        <w:t>Student Learning Outcomes:</w:t>
      </w:r>
      <w:r w:rsidR="005E34D4">
        <w:rPr>
          <w:rFonts w:ascii="Cambria" w:eastAsia="Times New Roman" w:hAnsi="Cambria" w:cstheme="minorHAnsi"/>
          <w:b/>
          <w:bCs/>
          <w:u w:val="single"/>
        </w:rPr>
        <w:br/>
      </w:r>
    </w:p>
    <w:p w14:paraId="46B918BF" w14:textId="14C588D5" w:rsidR="009C70F5" w:rsidRPr="00813039" w:rsidRDefault="00A71C06" w:rsidP="00EF5C0F">
      <w:pPr>
        <w:pStyle w:val="ListParagraph"/>
        <w:numPr>
          <w:ilvl w:val="0"/>
          <w:numId w:val="2"/>
        </w:numPr>
        <w:rPr>
          <w:rFonts w:ascii="Cambria" w:eastAsia="Times New Roman" w:hAnsi="Cambria" w:cstheme="minorHAnsi"/>
          <w:color w:val="000000" w:themeColor="text1"/>
        </w:rPr>
      </w:pPr>
      <w:r w:rsidRPr="00813039">
        <w:rPr>
          <w:rFonts w:ascii="Cambria" w:eastAsia="Times New Roman" w:hAnsi="Cambria" w:cstheme="minorHAnsi"/>
          <w:b/>
          <w:bCs/>
          <w:color w:val="000000" w:themeColor="text1"/>
        </w:rPr>
        <w:t>Rhetorical Discernment</w:t>
      </w:r>
      <w:r w:rsidR="009C70F5" w:rsidRPr="00813039">
        <w:rPr>
          <w:rFonts w:ascii="Cambria" w:eastAsia="Times New Roman" w:hAnsi="Cambria" w:cstheme="minorHAnsi"/>
          <w:color w:val="000000" w:themeColor="text1"/>
        </w:rPr>
        <w:t>:</w:t>
      </w:r>
      <w:r w:rsidRPr="00813039">
        <w:rPr>
          <w:rFonts w:ascii="Cambria" w:hAnsi="Cambria" w:cstheme="minorHAnsi"/>
        </w:rPr>
        <w:t xml:space="preserve"> The ability to write appropriately for different audiences, contexts, and purposes.</w:t>
      </w:r>
      <w:r w:rsidR="00715EA1">
        <w:rPr>
          <w:rFonts w:ascii="Cambria" w:hAnsi="Cambria" w:cstheme="minorHAnsi"/>
        </w:rPr>
        <w:br/>
      </w:r>
    </w:p>
    <w:p w14:paraId="7BFDC897" w14:textId="791F2306" w:rsidR="00EF5C0F" w:rsidRPr="00813039" w:rsidRDefault="00A71C06" w:rsidP="00EF5C0F">
      <w:pPr>
        <w:pStyle w:val="ListParagraph"/>
        <w:numPr>
          <w:ilvl w:val="0"/>
          <w:numId w:val="2"/>
        </w:numPr>
        <w:rPr>
          <w:rFonts w:ascii="Cambria" w:eastAsia="Times New Roman" w:hAnsi="Cambria" w:cstheme="minorHAnsi"/>
          <w:color w:val="000000" w:themeColor="text1"/>
        </w:rPr>
      </w:pPr>
      <w:r w:rsidRPr="00813039">
        <w:rPr>
          <w:rFonts w:ascii="Cambria" w:eastAsia="Times New Roman" w:hAnsi="Cambria" w:cstheme="minorHAnsi"/>
          <w:b/>
          <w:bCs/>
          <w:color w:val="000000" w:themeColor="text1"/>
        </w:rPr>
        <w:t>Information Literacy</w:t>
      </w:r>
      <w:r w:rsidR="009C70F5" w:rsidRPr="00813039">
        <w:rPr>
          <w:rFonts w:ascii="Cambria" w:eastAsia="Times New Roman" w:hAnsi="Cambria" w:cstheme="minorHAnsi"/>
          <w:b/>
          <w:bCs/>
          <w:color w:val="000000" w:themeColor="text1"/>
        </w:rPr>
        <w:t xml:space="preserve">:  </w:t>
      </w:r>
      <w:r w:rsidRPr="00813039">
        <w:rPr>
          <w:rFonts w:ascii="Cambria" w:hAnsi="Cambria" w:cstheme="minorHAnsi"/>
        </w:rPr>
        <w:t>The ability to pose appropriate questions and find reliable, relevant, and useful information to answer them. Information literacy also includes the ability to integrate sources into writing and to document sources correctly.</w:t>
      </w:r>
      <w:r w:rsidR="00715EA1">
        <w:rPr>
          <w:rFonts w:ascii="Cambria" w:hAnsi="Cambria" w:cstheme="minorHAnsi"/>
        </w:rPr>
        <w:br/>
      </w:r>
    </w:p>
    <w:p w14:paraId="51D8290F" w14:textId="331124DD" w:rsidR="00A71C06" w:rsidRPr="00813039" w:rsidRDefault="00EF5C0F" w:rsidP="00EF5C0F">
      <w:pPr>
        <w:pStyle w:val="ListParagraph"/>
        <w:numPr>
          <w:ilvl w:val="0"/>
          <w:numId w:val="2"/>
        </w:numPr>
        <w:rPr>
          <w:rFonts w:ascii="Cambria" w:eastAsia="Times New Roman" w:hAnsi="Cambria" w:cstheme="minorHAnsi"/>
          <w:color w:val="000000" w:themeColor="text1"/>
        </w:rPr>
      </w:pPr>
      <w:r w:rsidRPr="00813039">
        <w:rPr>
          <w:rFonts w:ascii="Cambria" w:eastAsia="Times New Roman" w:hAnsi="Cambria" w:cstheme="minorHAnsi"/>
          <w:b/>
          <w:bCs/>
          <w:color w:val="000000" w:themeColor="text1"/>
        </w:rPr>
        <w:t>Critical Reading</w:t>
      </w:r>
      <w:r w:rsidR="009C70F5" w:rsidRPr="00813039">
        <w:rPr>
          <w:rFonts w:ascii="Cambria" w:eastAsia="Times New Roman" w:hAnsi="Cambria" w:cstheme="minorHAnsi"/>
          <w:b/>
          <w:bCs/>
          <w:color w:val="000000" w:themeColor="text1"/>
        </w:rPr>
        <w:t xml:space="preserve">: </w:t>
      </w:r>
      <w:r w:rsidRPr="00813039">
        <w:rPr>
          <w:rFonts w:ascii="Cambria" w:hAnsi="Cambria" w:cstheme="minorHAnsi"/>
        </w:rPr>
        <w:t>The ability to identify, understand, and communicate the main ideas of a text and evaluate the evidence or strategies used to support those ideas</w:t>
      </w:r>
      <w:r w:rsidR="00715EA1">
        <w:rPr>
          <w:rFonts w:ascii="Cambria" w:hAnsi="Cambria" w:cstheme="minorHAnsi"/>
        </w:rPr>
        <w:t>.</w:t>
      </w:r>
      <w:r w:rsidRPr="00813039">
        <w:rPr>
          <w:rFonts w:ascii="Cambria" w:hAnsi="Cambria" w:cstheme="minorHAnsi"/>
        </w:rPr>
        <w:t xml:space="preserve"> </w:t>
      </w:r>
      <w:r w:rsidR="00715EA1">
        <w:rPr>
          <w:rFonts w:ascii="Cambria" w:hAnsi="Cambria" w:cstheme="minorHAnsi"/>
        </w:rPr>
        <w:br/>
      </w:r>
    </w:p>
    <w:p w14:paraId="380DE38C" w14:textId="03194A69" w:rsidR="00A71C06" w:rsidRPr="00813039" w:rsidRDefault="00A71C06" w:rsidP="00EF5C0F">
      <w:pPr>
        <w:pStyle w:val="ListParagraph"/>
        <w:numPr>
          <w:ilvl w:val="0"/>
          <w:numId w:val="2"/>
        </w:numPr>
        <w:rPr>
          <w:rFonts w:ascii="Cambria" w:eastAsia="Times New Roman" w:hAnsi="Cambria" w:cstheme="minorHAnsi"/>
          <w:color w:val="000000" w:themeColor="text1"/>
        </w:rPr>
      </w:pPr>
      <w:r w:rsidRPr="00813039">
        <w:rPr>
          <w:rFonts w:ascii="Cambria" w:eastAsia="Times New Roman" w:hAnsi="Cambria" w:cstheme="minorHAnsi"/>
          <w:b/>
          <w:bCs/>
          <w:color w:val="000000" w:themeColor="text1"/>
        </w:rPr>
        <w:t>Substantive revision:</w:t>
      </w:r>
      <w:r w:rsidRPr="00813039">
        <w:rPr>
          <w:rFonts w:ascii="Cambria" w:eastAsia="Times New Roman" w:hAnsi="Cambria" w:cstheme="minorHAnsi"/>
          <w:color w:val="000000" w:themeColor="text1"/>
        </w:rPr>
        <w:t xml:space="preserve"> </w:t>
      </w:r>
      <w:r w:rsidRPr="00813039">
        <w:rPr>
          <w:rFonts w:ascii="Cambria" w:hAnsi="Cambria" w:cstheme="minorHAnsi"/>
        </w:rPr>
        <w:t xml:space="preserve">Substantive revision requires approaching writing as a process that includes rethinking ideas and organization, not merely copyediting and correcting mistakes. </w:t>
      </w:r>
    </w:p>
    <w:p w14:paraId="7C48585C" w14:textId="7E72C6CB" w:rsidR="00BB78EE" w:rsidRPr="00813039" w:rsidRDefault="00BB78EE">
      <w:pPr>
        <w:rPr>
          <w:rFonts w:ascii="Cambria" w:eastAsia="Times New Roman" w:hAnsi="Cambria" w:cstheme="minorHAnsi"/>
          <w:b/>
          <w:bCs/>
          <w:color w:val="000000" w:themeColor="text1"/>
        </w:rPr>
      </w:pPr>
      <w:r w:rsidRPr="00813039">
        <w:rPr>
          <w:rFonts w:ascii="Cambria" w:eastAsia="Times New Roman" w:hAnsi="Cambria" w:cstheme="minorHAnsi"/>
          <w:b/>
          <w:bCs/>
          <w:color w:val="000000" w:themeColor="text1"/>
        </w:rPr>
        <w:br w:type="page"/>
      </w:r>
    </w:p>
    <w:p w14:paraId="144156F4" w14:textId="77777777" w:rsidR="00BB78EE" w:rsidRPr="00813039" w:rsidRDefault="00BB78EE" w:rsidP="00BB78EE">
      <w:pPr>
        <w:pStyle w:val="ListParagraph"/>
        <w:rPr>
          <w:rFonts w:ascii="Cambria" w:eastAsia="Times New Roman" w:hAnsi="Cambria" w:cstheme="minorHAnsi"/>
          <w:color w:val="000000" w:themeColor="text1"/>
        </w:rPr>
      </w:pPr>
    </w:p>
    <w:tbl>
      <w:tblPr>
        <w:tblStyle w:val="TableGrid"/>
        <w:tblW w:w="5000" w:type="pct"/>
        <w:tblLook w:val="04A0" w:firstRow="1" w:lastRow="0" w:firstColumn="1" w:lastColumn="0" w:noHBand="0" w:noVBand="1"/>
      </w:tblPr>
      <w:tblGrid>
        <w:gridCol w:w="3775"/>
        <w:gridCol w:w="2880"/>
        <w:gridCol w:w="2695"/>
      </w:tblGrid>
      <w:tr w:rsidR="00645D13" w:rsidRPr="00813039" w14:paraId="20C0A01E" w14:textId="77777777" w:rsidTr="00645D13">
        <w:tc>
          <w:tcPr>
            <w:tcW w:w="2019" w:type="pct"/>
            <w:vAlign w:val="center"/>
          </w:tcPr>
          <w:p w14:paraId="46AA9249" w14:textId="3D09BE3B" w:rsidR="00645D13" w:rsidRPr="00715EA1" w:rsidRDefault="00645D13" w:rsidP="00645D13">
            <w:pPr>
              <w:jc w:val="center"/>
              <w:rPr>
                <w:rFonts w:ascii="Cambria" w:eastAsia="Times New Roman" w:hAnsi="Cambria" w:cstheme="minorHAnsi"/>
                <w:b/>
                <w:bCs/>
                <w:sz w:val="22"/>
                <w:szCs w:val="22"/>
              </w:rPr>
            </w:pPr>
            <w:r w:rsidRPr="00715EA1">
              <w:rPr>
                <w:rFonts w:ascii="Cambria" w:eastAsia="Times New Roman" w:hAnsi="Cambria" w:cstheme="minorHAnsi"/>
                <w:b/>
                <w:bCs/>
                <w:sz w:val="22"/>
                <w:szCs w:val="22"/>
              </w:rPr>
              <w:t>WIL1 Approval Criteria</w:t>
            </w:r>
          </w:p>
        </w:tc>
        <w:tc>
          <w:tcPr>
            <w:tcW w:w="2981" w:type="pct"/>
            <w:gridSpan w:val="2"/>
            <w:vAlign w:val="center"/>
          </w:tcPr>
          <w:p w14:paraId="54998643" w14:textId="5DB68B95" w:rsidR="00645D13" w:rsidRPr="00715EA1" w:rsidRDefault="00645D13" w:rsidP="00645D13">
            <w:pPr>
              <w:jc w:val="center"/>
              <w:rPr>
                <w:rFonts w:ascii="Cambria" w:eastAsia="Times New Roman" w:hAnsi="Cambria" w:cstheme="minorHAnsi"/>
                <w:b/>
                <w:bCs/>
                <w:sz w:val="22"/>
                <w:szCs w:val="22"/>
              </w:rPr>
            </w:pPr>
            <w:r w:rsidRPr="00715EA1">
              <w:rPr>
                <w:rFonts w:ascii="Cambria" w:eastAsia="Times New Roman" w:hAnsi="Cambria" w:cstheme="minorHAnsi"/>
                <w:b/>
                <w:bCs/>
                <w:i/>
                <w:iCs/>
                <w:sz w:val="22"/>
                <w:szCs w:val="22"/>
              </w:rPr>
              <w:t>If an approval criterion is not clearly described in the syllabus, please explain here</w:t>
            </w:r>
          </w:p>
        </w:tc>
      </w:tr>
      <w:tr w:rsidR="00645D13" w:rsidRPr="00813039" w14:paraId="4BE656FE" w14:textId="77777777" w:rsidTr="006C3ADD">
        <w:tc>
          <w:tcPr>
            <w:tcW w:w="2019" w:type="pct"/>
          </w:tcPr>
          <w:p w14:paraId="5857CB9A" w14:textId="5F732D93" w:rsidR="00645D13" w:rsidRPr="00715EA1" w:rsidRDefault="00645D13" w:rsidP="00645D13">
            <w:pPr>
              <w:rPr>
                <w:rFonts w:ascii="Cambria" w:eastAsia="Times New Roman" w:hAnsi="Cambria" w:cstheme="minorHAnsi"/>
                <w:b/>
                <w:bCs/>
                <w:sz w:val="22"/>
                <w:szCs w:val="22"/>
              </w:rPr>
            </w:pPr>
            <w:r w:rsidRPr="00715EA1">
              <w:rPr>
                <w:rStyle w:val="contentpasted1"/>
                <w:rFonts w:ascii="Cambria" w:hAnsi="Cambria" w:cstheme="minorHAnsi"/>
                <w:sz w:val="22"/>
                <w:szCs w:val="22"/>
              </w:rPr>
              <w:t>Includes multiple writing/information literacy activities </w:t>
            </w:r>
          </w:p>
        </w:tc>
        <w:tc>
          <w:tcPr>
            <w:tcW w:w="1540" w:type="pct"/>
          </w:tcPr>
          <w:p w14:paraId="3B2AB999" w14:textId="77777777" w:rsidR="00645D13" w:rsidRPr="00715EA1" w:rsidRDefault="00645D13" w:rsidP="00645D13">
            <w:pPr>
              <w:rPr>
                <w:rFonts w:ascii="Cambria" w:eastAsia="Times New Roman" w:hAnsi="Cambria" w:cstheme="minorHAnsi"/>
                <w:b/>
                <w:bCs/>
                <w:sz w:val="22"/>
                <w:szCs w:val="22"/>
              </w:rPr>
            </w:pPr>
          </w:p>
        </w:tc>
        <w:tc>
          <w:tcPr>
            <w:tcW w:w="1441" w:type="pct"/>
          </w:tcPr>
          <w:p w14:paraId="711EF693" w14:textId="77777777" w:rsidR="00645D13" w:rsidRPr="00715EA1" w:rsidRDefault="00645D13" w:rsidP="00645D13">
            <w:pPr>
              <w:rPr>
                <w:rFonts w:ascii="Cambria" w:eastAsia="Times New Roman" w:hAnsi="Cambria" w:cstheme="minorHAnsi"/>
                <w:b/>
                <w:bCs/>
                <w:sz w:val="22"/>
                <w:szCs w:val="22"/>
              </w:rPr>
            </w:pPr>
          </w:p>
        </w:tc>
      </w:tr>
      <w:tr w:rsidR="00645D13" w:rsidRPr="00813039" w14:paraId="17BD0BE7" w14:textId="77777777" w:rsidTr="006C3ADD">
        <w:tc>
          <w:tcPr>
            <w:tcW w:w="2019" w:type="pct"/>
          </w:tcPr>
          <w:p w14:paraId="0DC9DCC6" w14:textId="6FB1BB4A" w:rsidR="00645D13" w:rsidRPr="00715EA1" w:rsidRDefault="00645D13" w:rsidP="00645D13">
            <w:pPr>
              <w:rPr>
                <w:rFonts w:ascii="Cambria" w:eastAsia="Times New Roman" w:hAnsi="Cambria" w:cstheme="minorHAnsi"/>
                <w:b/>
                <w:bCs/>
                <w:sz w:val="22"/>
                <w:szCs w:val="22"/>
              </w:rPr>
            </w:pPr>
            <w:r w:rsidRPr="00715EA1">
              <w:rPr>
                <w:rStyle w:val="contentpasted1"/>
                <w:rFonts w:ascii="Cambria" w:hAnsi="Cambria" w:cstheme="minorHAnsi"/>
                <w:sz w:val="22"/>
                <w:szCs w:val="22"/>
              </w:rPr>
              <w:t>Includes opportunities for students to make use of feedback over time in the course</w:t>
            </w:r>
            <w:r w:rsidR="001E424A" w:rsidRPr="00715EA1">
              <w:rPr>
                <w:rStyle w:val="contentpasted1"/>
                <w:rFonts w:ascii="Cambria" w:hAnsi="Cambria" w:cstheme="minorHAnsi"/>
                <w:sz w:val="22"/>
                <w:szCs w:val="22"/>
              </w:rPr>
              <w:t xml:space="preserve">. </w:t>
            </w:r>
          </w:p>
        </w:tc>
        <w:tc>
          <w:tcPr>
            <w:tcW w:w="1540" w:type="pct"/>
          </w:tcPr>
          <w:p w14:paraId="14273ED2" w14:textId="77777777" w:rsidR="00645D13" w:rsidRPr="00715EA1" w:rsidRDefault="00645D13" w:rsidP="00645D13">
            <w:pPr>
              <w:rPr>
                <w:rFonts w:ascii="Cambria" w:eastAsia="Times New Roman" w:hAnsi="Cambria" w:cstheme="minorHAnsi"/>
                <w:b/>
                <w:bCs/>
                <w:sz w:val="22"/>
                <w:szCs w:val="22"/>
              </w:rPr>
            </w:pPr>
          </w:p>
        </w:tc>
        <w:tc>
          <w:tcPr>
            <w:tcW w:w="1441" w:type="pct"/>
          </w:tcPr>
          <w:p w14:paraId="40A1BC2E" w14:textId="77777777" w:rsidR="00645D13" w:rsidRPr="00715EA1" w:rsidRDefault="00645D13" w:rsidP="00645D13">
            <w:pPr>
              <w:rPr>
                <w:rFonts w:ascii="Cambria" w:eastAsia="Times New Roman" w:hAnsi="Cambria" w:cstheme="minorHAnsi"/>
                <w:b/>
                <w:bCs/>
                <w:sz w:val="22"/>
                <w:szCs w:val="22"/>
              </w:rPr>
            </w:pPr>
          </w:p>
        </w:tc>
      </w:tr>
      <w:tr w:rsidR="00645D13" w:rsidRPr="00813039" w14:paraId="29B1FDFC" w14:textId="77777777" w:rsidTr="006C3ADD">
        <w:tc>
          <w:tcPr>
            <w:tcW w:w="2019" w:type="pct"/>
          </w:tcPr>
          <w:p w14:paraId="66420217" w14:textId="4CD32D9B" w:rsidR="00645D13" w:rsidRPr="00715EA1" w:rsidRDefault="00645D13" w:rsidP="00645D13">
            <w:pPr>
              <w:rPr>
                <w:rFonts w:ascii="Cambria" w:eastAsia="Times New Roman" w:hAnsi="Cambria" w:cstheme="minorHAnsi"/>
                <w:b/>
                <w:bCs/>
                <w:sz w:val="22"/>
                <w:szCs w:val="22"/>
              </w:rPr>
            </w:pPr>
            <w:r w:rsidRPr="00715EA1">
              <w:rPr>
                <w:rStyle w:val="contentpasted1"/>
                <w:rFonts w:ascii="Cambria" w:hAnsi="Cambria" w:cstheme="minorHAnsi"/>
                <w:sz w:val="22"/>
                <w:szCs w:val="22"/>
              </w:rPr>
              <w:t>Writing/information literacy assignments play a substantial role in the semester grade. </w:t>
            </w:r>
          </w:p>
        </w:tc>
        <w:tc>
          <w:tcPr>
            <w:tcW w:w="1540" w:type="pct"/>
          </w:tcPr>
          <w:p w14:paraId="0D5712A3" w14:textId="77777777" w:rsidR="00645D13" w:rsidRPr="00715EA1" w:rsidRDefault="00645D13" w:rsidP="00645D13">
            <w:pPr>
              <w:rPr>
                <w:rFonts w:ascii="Cambria" w:eastAsia="Times New Roman" w:hAnsi="Cambria" w:cstheme="minorHAnsi"/>
                <w:b/>
                <w:bCs/>
                <w:sz w:val="22"/>
                <w:szCs w:val="22"/>
              </w:rPr>
            </w:pPr>
          </w:p>
        </w:tc>
        <w:tc>
          <w:tcPr>
            <w:tcW w:w="1441" w:type="pct"/>
          </w:tcPr>
          <w:p w14:paraId="6072A85E" w14:textId="77777777" w:rsidR="00645D13" w:rsidRPr="00715EA1" w:rsidRDefault="00645D13" w:rsidP="00645D13">
            <w:pPr>
              <w:rPr>
                <w:rFonts w:ascii="Cambria" w:eastAsia="Times New Roman" w:hAnsi="Cambria" w:cstheme="minorHAnsi"/>
                <w:b/>
                <w:bCs/>
                <w:sz w:val="22"/>
                <w:szCs w:val="22"/>
              </w:rPr>
            </w:pPr>
          </w:p>
        </w:tc>
      </w:tr>
      <w:tr w:rsidR="00645D13" w:rsidRPr="00813039" w14:paraId="32C5AC8B" w14:textId="77777777" w:rsidTr="00645D13">
        <w:tc>
          <w:tcPr>
            <w:tcW w:w="2019" w:type="pct"/>
            <w:vAlign w:val="center"/>
          </w:tcPr>
          <w:p w14:paraId="3808C3DC" w14:textId="15763492" w:rsidR="00645D13" w:rsidRPr="00715EA1" w:rsidRDefault="00645D13" w:rsidP="00645D13">
            <w:pPr>
              <w:jc w:val="center"/>
              <w:rPr>
                <w:rFonts w:ascii="Cambria" w:eastAsia="Times New Roman" w:hAnsi="Cambria" w:cstheme="minorHAnsi"/>
                <w:b/>
                <w:bCs/>
                <w:color w:val="000000" w:themeColor="text1"/>
                <w:sz w:val="22"/>
                <w:szCs w:val="22"/>
              </w:rPr>
            </w:pPr>
            <w:r w:rsidRPr="00715EA1">
              <w:rPr>
                <w:rFonts w:ascii="Cambria" w:eastAsia="Times New Roman" w:hAnsi="Cambria" w:cstheme="minorHAnsi"/>
                <w:b/>
                <w:bCs/>
                <w:color w:val="000000" w:themeColor="text1"/>
                <w:sz w:val="22"/>
                <w:szCs w:val="22"/>
              </w:rPr>
              <w:t>WIL1 Student Learning Outcomes</w:t>
            </w:r>
          </w:p>
        </w:tc>
        <w:tc>
          <w:tcPr>
            <w:tcW w:w="1540" w:type="pct"/>
            <w:vAlign w:val="center"/>
          </w:tcPr>
          <w:p w14:paraId="434EA910" w14:textId="77777777" w:rsidR="00645D13" w:rsidRPr="00715EA1" w:rsidRDefault="00645D13" w:rsidP="00645D13">
            <w:pPr>
              <w:jc w:val="center"/>
              <w:rPr>
                <w:rFonts w:ascii="Cambria" w:eastAsia="Times New Roman" w:hAnsi="Cambria" w:cstheme="minorHAnsi"/>
                <w:b/>
                <w:bCs/>
                <w:color w:val="000000" w:themeColor="text1"/>
                <w:sz w:val="22"/>
                <w:szCs w:val="22"/>
              </w:rPr>
            </w:pPr>
            <w:r w:rsidRPr="00715EA1">
              <w:rPr>
                <w:rFonts w:ascii="Cambria" w:eastAsia="Times New Roman" w:hAnsi="Cambria" w:cstheme="minorHAnsi"/>
                <w:b/>
                <w:bCs/>
                <w:color w:val="000000" w:themeColor="text1"/>
                <w:sz w:val="22"/>
                <w:szCs w:val="22"/>
              </w:rPr>
              <w:t>Activities/Topics</w:t>
            </w:r>
          </w:p>
        </w:tc>
        <w:tc>
          <w:tcPr>
            <w:tcW w:w="1441" w:type="pct"/>
            <w:vAlign w:val="center"/>
          </w:tcPr>
          <w:p w14:paraId="3BB891FF" w14:textId="77777777" w:rsidR="00645D13" w:rsidRPr="00715EA1" w:rsidRDefault="00645D13" w:rsidP="00645D13">
            <w:pPr>
              <w:jc w:val="center"/>
              <w:rPr>
                <w:rFonts w:ascii="Cambria" w:eastAsia="Times New Roman" w:hAnsi="Cambria" w:cstheme="minorHAnsi"/>
                <w:b/>
                <w:bCs/>
                <w:color w:val="000000" w:themeColor="text1"/>
                <w:sz w:val="22"/>
                <w:szCs w:val="22"/>
              </w:rPr>
            </w:pPr>
            <w:r w:rsidRPr="00715EA1">
              <w:rPr>
                <w:rFonts w:ascii="Cambria" w:eastAsia="Times New Roman" w:hAnsi="Cambria" w:cstheme="minorHAnsi"/>
                <w:b/>
                <w:bCs/>
                <w:color w:val="000000" w:themeColor="text1"/>
                <w:sz w:val="22"/>
                <w:szCs w:val="22"/>
              </w:rPr>
              <w:t>Assessment</w:t>
            </w:r>
          </w:p>
        </w:tc>
      </w:tr>
      <w:tr w:rsidR="00645D13" w:rsidRPr="00813039" w14:paraId="6E36E618" w14:textId="77777777" w:rsidTr="006C3ADD">
        <w:tc>
          <w:tcPr>
            <w:tcW w:w="2019" w:type="pct"/>
          </w:tcPr>
          <w:p w14:paraId="15D5E860" w14:textId="2878C41B" w:rsidR="00645D13" w:rsidRPr="00715EA1" w:rsidRDefault="00645D13" w:rsidP="00645D13">
            <w:pPr>
              <w:rPr>
                <w:rFonts w:ascii="Cambria" w:eastAsia="Times New Roman" w:hAnsi="Cambria" w:cstheme="minorHAnsi"/>
                <w:b/>
                <w:bCs/>
                <w:color w:val="000000" w:themeColor="text1"/>
                <w:sz w:val="22"/>
                <w:szCs w:val="22"/>
              </w:rPr>
            </w:pPr>
            <w:r w:rsidRPr="00715EA1">
              <w:rPr>
                <w:rFonts w:ascii="Cambria" w:eastAsia="Times New Roman" w:hAnsi="Cambria" w:cstheme="minorHAnsi"/>
                <w:b/>
                <w:bCs/>
                <w:color w:val="000000" w:themeColor="text1"/>
                <w:sz w:val="22"/>
                <w:szCs w:val="22"/>
              </w:rPr>
              <w:t>Rhetorical Discernment</w:t>
            </w:r>
            <w:r w:rsidRPr="00715EA1">
              <w:rPr>
                <w:rFonts w:ascii="Cambria" w:eastAsia="Times New Roman" w:hAnsi="Cambria" w:cstheme="minorHAnsi"/>
                <w:b/>
                <w:bCs/>
                <w:color w:val="000000" w:themeColor="text1"/>
                <w:sz w:val="22"/>
                <w:szCs w:val="22"/>
              </w:rPr>
              <w:br/>
            </w:r>
            <w:r w:rsidRPr="00715EA1">
              <w:rPr>
                <w:rFonts w:ascii="Cambria" w:hAnsi="Cambria" w:cstheme="minorHAnsi"/>
                <w:sz w:val="22"/>
                <w:szCs w:val="22"/>
              </w:rPr>
              <w:t>Students demonstrate that they have an awareness that there are many different ways of writing, and can make choices appropriate to an audience, context, and purpose.</w:t>
            </w:r>
          </w:p>
        </w:tc>
        <w:tc>
          <w:tcPr>
            <w:tcW w:w="1540" w:type="pct"/>
          </w:tcPr>
          <w:p w14:paraId="4A407128" w14:textId="77777777" w:rsidR="00645D13" w:rsidRPr="00715EA1" w:rsidRDefault="00645D13" w:rsidP="00645D13">
            <w:pPr>
              <w:rPr>
                <w:rFonts w:ascii="Cambria" w:eastAsia="Times New Roman" w:hAnsi="Cambria" w:cstheme="minorHAnsi"/>
                <w:color w:val="000000" w:themeColor="text1"/>
                <w:sz w:val="22"/>
                <w:szCs w:val="22"/>
              </w:rPr>
            </w:pPr>
          </w:p>
        </w:tc>
        <w:tc>
          <w:tcPr>
            <w:tcW w:w="1441" w:type="pct"/>
          </w:tcPr>
          <w:p w14:paraId="2541F3E9" w14:textId="77777777" w:rsidR="00645D13" w:rsidRPr="00715EA1" w:rsidRDefault="00645D13" w:rsidP="00645D13">
            <w:pPr>
              <w:rPr>
                <w:rFonts w:ascii="Cambria" w:eastAsia="Times New Roman" w:hAnsi="Cambria" w:cstheme="minorHAnsi"/>
                <w:color w:val="000000" w:themeColor="text1"/>
                <w:sz w:val="22"/>
                <w:szCs w:val="22"/>
              </w:rPr>
            </w:pPr>
          </w:p>
        </w:tc>
      </w:tr>
      <w:tr w:rsidR="00645D13" w:rsidRPr="00813039" w14:paraId="01008CB2" w14:textId="77777777" w:rsidTr="006C3ADD">
        <w:tc>
          <w:tcPr>
            <w:tcW w:w="2019" w:type="pct"/>
          </w:tcPr>
          <w:p w14:paraId="0CCAB5DF" w14:textId="2D54FBC6" w:rsidR="00645D13" w:rsidRPr="00715EA1" w:rsidRDefault="00645D13" w:rsidP="00645D13">
            <w:pPr>
              <w:pStyle w:val="NormalWeb"/>
              <w:spacing w:before="0" w:beforeAutospacing="0" w:after="0" w:afterAutospacing="0"/>
              <w:rPr>
                <w:rFonts w:ascii="Cambria" w:hAnsi="Cambria" w:cstheme="minorHAnsi"/>
                <w:sz w:val="22"/>
                <w:szCs w:val="22"/>
              </w:rPr>
            </w:pPr>
            <w:r w:rsidRPr="00715EA1">
              <w:rPr>
                <w:rFonts w:ascii="Cambria" w:hAnsi="Cambria" w:cstheme="minorHAnsi"/>
                <w:b/>
                <w:bCs/>
                <w:color w:val="000000" w:themeColor="text1"/>
                <w:sz w:val="22"/>
                <w:szCs w:val="22"/>
              </w:rPr>
              <w:t xml:space="preserve">Information Literacy:  </w:t>
            </w:r>
            <w:r w:rsidRPr="00715EA1">
              <w:rPr>
                <w:rFonts w:ascii="Cambria" w:hAnsi="Cambria" w:cstheme="minorHAnsi"/>
                <w:sz w:val="22"/>
                <w:szCs w:val="22"/>
              </w:rPr>
              <w:t xml:space="preserve">Students understand that sources vary in terms of reliability and usefulness, and that different sources are useful for different contexts and purposes. Students understand the difference between peer-reviewed research and other types of publications. Students can locate information using library databases and other means as appropriate. Students understand that, like writing, research is an iterative process. Students can deploy citation conventions in at least one discipline. </w:t>
            </w:r>
          </w:p>
        </w:tc>
        <w:tc>
          <w:tcPr>
            <w:tcW w:w="1540" w:type="pct"/>
          </w:tcPr>
          <w:p w14:paraId="57AFDFB6" w14:textId="77777777" w:rsidR="00645D13" w:rsidRPr="00715EA1" w:rsidRDefault="00645D13" w:rsidP="00645D13">
            <w:pPr>
              <w:rPr>
                <w:rFonts w:ascii="Cambria" w:eastAsia="Times New Roman" w:hAnsi="Cambria" w:cstheme="minorHAnsi"/>
                <w:color w:val="000000" w:themeColor="text1"/>
                <w:sz w:val="22"/>
                <w:szCs w:val="22"/>
              </w:rPr>
            </w:pPr>
          </w:p>
        </w:tc>
        <w:tc>
          <w:tcPr>
            <w:tcW w:w="1441" w:type="pct"/>
          </w:tcPr>
          <w:p w14:paraId="11262FB2" w14:textId="77777777" w:rsidR="00645D13" w:rsidRPr="00715EA1" w:rsidRDefault="00645D13" w:rsidP="00645D13">
            <w:pPr>
              <w:rPr>
                <w:rFonts w:ascii="Cambria" w:eastAsia="Times New Roman" w:hAnsi="Cambria" w:cstheme="minorHAnsi"/>
                <w:color w:val="000000" w:themeColor="text1"/>
                <w:sz w:val="22"/>
                <w:szCs w:val="22"/>
              </w:rPr>
            </w:pPr>
          </w:p>
        </w:tc>
      </w:tr>
      <w:tr w:rsidR="00645D13" w:rsidRPr="00813039" w14:paraId="1540EA74" w14:textId="77777777" w:rsidTr="006C3ADD">
        <w:tc>
          <w:tcPr>
            <w:tcW w:w="2019" w:type="pct"/>
          </w:tcPr>
          <w:p w14:paraId="73D794DB" w14:textId="5F30C324" w:rsidR="00645D13" w:rsidRPr="00715EA1" w:rsidRDefault="00645D13" w:rsidP="00645D13">
            <w:pPr>
              <w:rPr>
                <w:rFonts w:ascii="Cambria" w:eastAsia="Times New Roman" w:hAnsi="Cambria" w:cstheme="minorHAnsi"/>
                <w:b/>
                <w:bCs/>
                <w:color w:val="000000" w:themeColor="text1"/>
                <w:sz w:val="22"/>
                <w:szCs w:val="22"/>
              </w:rPr>
            </w:pPr>
            <w:r w:rsidRPr="00715EA1">
              <w:rPr>
                <w:rFonts w:ascii="Cambria" w:eastAsia="Times New Roman" w:hAnsi="Cambria" w:cstheme="minorHAnsi"/>
                <w:b/>
                <w:bCs/>
                <w:color w:val="000000" w:themeColor="text1"/>
                <w:sz w:val="22"/>
                <w:szCs w:val="22"/>
              </w:rPr>
              <w:t xml:space="preserve">Critical Reading: </w:t>
            </w:r>
            <w:r w:rsidRPr="00715EA1">
              <w:rPr>
                <w:rFonts w:ascii="Cambria" w:eastAsia="Times New Roman" w:hAnsi="Cambria" w:cstheme="minorHAnsi"/>
                <w:b/>
                <w:bCs/>
                <w:color w:val="000000" w:themeColor="text1"/>
                <w:sz w:val="22"/>
                <w:szCs w:val="22"/>
              </w:rPr>
              <w:br/>
            </w:r>
            <w:r w:rsidRPr="00715EA1">
              <w:rPr>
                <w:rFonts w:ascii="Cambria" w:hAnsi="Cambria" w:cstheme="minorHAnsi"/>
                <w:sz w:val="22"/>
                <w:szCs w:val="22"/>
              </w:rPr>
              <w:t xml:space="preserve">Students can effectively summarize and evaluate the main ideas and supporting evidence in a text. Students understand that reading involves critical thinking strategies such as questioning, comparing, contrasting and vocabulary building. </w:t>
            </w:r>
          </w:p>
        </w:tc>
        <w:tc>
          <w:tcPr>
            <w:tcW w:w="1540" w:type="pct"/>
          </w:tcPr>
          <w:p w14:paraId="30767BF3" w14:textId="77777777" w:rsidR="00645D13" w:rsidRPr="00715EA1" w:rsidRDefault="00645D13" w:rsidP="00645D13">
            <w:pPr>
              <w:rPr>
                <w:rFonts w:ascii="Cambria" w:eastAsia="Times New Roman" w:hAnsi="Cambria" w:cstheme="minorHAnsi"/>
                <w:color w:val="000000" w:themeColor="text1"/>
                <w:sz w:val="22"/>
                <w:szCs w:val="22"/>
              </w:rPr>
            </w:pPr>
          </w:p>
        </w:tc>
        <w:tc>
          <w:tcPr>
            <w:tcW w:w="1441" w:type="pct"/>
          </w:tcPr>
          <w:p w14:paraId="4C7DE82D" w14:textId="77777777" w:rsidR="00645D13" w:rsidRPr="00715EA1" w:rsidRDefault="00645D13" w:rsidP="00645D13">
            <w:pPr>
              <w:rPr>
                <w:rFonts w:ascii="Cambria" w:eastAsia="Times New Roman" w:hAnsi="Cambria" w:cstheme="minorHAnsi"/>
                <w:color w:val="000000" w:themeColor="text1"/>
                <w:sz w:val="22"/>
                <w:szCs w:val="22"/>
              </w:rPr>
            </w:pPr>
          </w:p>
        </w:tc>
      </w:tr>
      <w:tr w:rsidR="00645D13" w:rsidRPr="00813039" w14:paraId="2E25959B" w14:textId="77777777" w:rsidTr="006C3ADD">
        <w:tc>
          <w:tcPr>
            <w:tcW w:w="2019" w:type="pct"/>
          </w:tcPr>
          <w:p w14:paraId="356803C8" w14:textId="61DFEA79" w:rsidR="00645D13" w:rsidRPr="00715EA1" w:rsidRDefault="00645D13" w:rsidP="00645D13">
            <w:pPr>
              <w:rPr>
                <w:rFonts w:ascii="Cambria" w:eastAsia="Times New Roman" w:hAnsi="Cambria" w:cstheme="minorHAnsi"/>
                <w:sz w:val="22"/>
                <w:szCs w:val="22"/>
              </w:rPr>
            </w:pPr>
            <w:r w:rsidRPr="00715EA1">
              <w:rPr>
                <w:rFonts w:ascii="Cambria" w:eastAsia="Times New Roman" w:hAnsi="Cambria" w:cstheme="minorHAnsi"/>
                <w:b/>
                <w:bCs/>
                <w:color w:val="000000" w:themeColor="text1"/>
                <w:sz w:val="22"/>
                <w:szCs w:val="22"/>
              </w:rPr>
              <w:t>Substantive Revision:</w:t>
            </w:r>
            <w:r w:rsidRPr="00715EA1">
              <w:rPr>
                <w:rFonts w:ascii="Cambria" w:eastAsia="Times New Roman" w:hAnsi="Cambria" w:cstheme="minorHAnsi"/>
                <w:b/>
                <w:bCs/>
                <w:color w:val="000000" w:themeColor="text1"/>
                <w:sz w:val="22"/>
                <w:szCs w:val="22"/>
              </w:rPr>
              <w:br/>
            </w:r>
            <w:r w:rsidRPr="00715EA1">
              <w:rPr>
                <w:rFonts w:ascii="Cambria" w:hAnsi="Cambria" w:cstheme="minorHAnsi"/>
                <w:sz w:val="22"/>
                <w:szCs w:val="22"/>
              </w:rPr>
              <w:t xml:space="preserve">Students demonstrate that writing is a process that requires multiple drafts </w:t>
            </w:r>
            <w:r w:rsidR="002A270B" w:rsidRPr="00715EA1">
              <w:rPr>
                <w:rFonts w:ascii="Cambria" w:hAnsi="Cambria" w:cstheme="minorHAnsi"/>
                <w:sz w:val="22"/>
                <w:szCs w:val="22"/>
              </w:rPr>
              <w:t xml:space="preserve">or stages </w:t>
            </w:r>
            <w:r w:rsidRPr="00715EA1">
              <w:rPr>
                <w:rFonts w:ascii="Cambria" w:hAnsi="Cambria" w:cstheme="minorHAnsi"/>
                <w:sz w:val="22"/>
                <w:szCs w:val="22"/>
              </w:rPr>
              <w:t xml:space="preserve">to rethink ideas and structure, in addition to editing for clarity. </w:t>
            </w:r>
          </w:p>
        </w:tc>
        <w:tc>
          <w:tcPr>
            <w:tcW w:w="1540" w:type="pct"/>
          </w:tcPr>
          <w:p w14:paraId="7265D44A" w14:textId="77777777" w:rsidR="00645D13" w:rsidRPr="00715EA1" w:rsidRDefault="00645D13" w:rsidP="00645D13">
            <w:pPr>
              <w:rPr>
                <w:rFonts w:ascii="Cambria" w:eastAsia="Times New Roman" w:hAnsi="Cambria" w:cstheme="minorHAnsi"/>
                <w:color w:val="000000" w:themeColor="text1"/>
                <w:sz w:val="22"/>
                <w:szCs w:val="22"/>
              </w:rPr>
            </w:pPr>
          </w:p>
        </w:tc>
        <w:tc>
          <w:tcPr>
            <w:tcW w:w="1441" w:type="pct"/>
          </w:tcPr>
          <w:p w14:paraId="478E0368" w14:textId="77777777" w:rsidR="00645D13" w:rsidRPr="00715EA1" w:rsidRDefault="00645D13" w:rsidP="00645D13">
            <w:pPr>
              <w:rPr>
                <w:rFonts w:ascii="Cambria" w:eastAsia="Times New Roman" w:hAnsi="Cambria" w:cstheme="minorHAnsi"/>
                <w:color w:val="000000" w:themeColor="text1"/>
                <w:sz w:val="22"/>
                <w:szCs w:val="22"/>
              </w:rPr>
            </w:pPr>
          </w:p>
        </w:tc>
      </w:tr>
    </w:tbl>
    <w:p w14:paraId="5B91941A" w14:textId="77777777" w:rsidR="00BB78EE" w:rsidRPr="00813039" w:rsidRDefault="00BB78EE" w:rsidP="00EF5C0F">
      <w:pPr>
        <w:rPr>
          <w:rFonts w:ascii="Cambria" w:hAnsi="Cambria" w:cstheme="minorHAnsi"/>
          <w:color w:val="000000" w:themeColor="text1"/>
        </w:rPr>
      </w:pPr>
    </w:p>
    <w:sectPr w:rsidR="00BB78EE" w:rsidRPr="00813039" w:rsidSect="00256AE5">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64725" w14:textId="77777777" w:rsidR="003E5A60" w:rsidRDefault="003E5A60" w:rsidP="003E5A60">
      <w:r>
        <w:separator/>
      </w:r>
    </w:p>
  </w:endnote>
  <w:endnote w:type="continuationSeparator" w:id="0">
    <w:p w14:paraId="27970470" w14:textId="77777777" w:rsidR="003E5A60" w:rsidRDefault="003E5A60" w:rsidP="003E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397E5" w14:textId="77777777" w:rsidR="003E5A60" w:rsidRDefault="003E5A60" w:rsidP="003E5A60">
      <w:r>
        <w:separator/>
      </w:r>
    </w:p>
  </w:footnote>
  <w:footnote w:type="continuationSeparator" w:id="0">
    <w:p w14:paraId="77E303E9" w14:textId="77777777" w:rsidR="003E5A60" w:rsidRDefault="003E5A60" w:rsidP="003E5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E5C4" w14:textId="1D4776DC" w:rsidR="003E5A60" w:rsidRDefault="003E5A60" w:rsidP="007E137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2667" w14:textId="59A7A81E" w:rsidR="00256AE5" w:rsidRDefault="00256AE5" w:rsidP="00256AE5">
    <w:pPr>
      <w:pStyle w:val="Header"/>
      <w:jc w:val="center"/>
    </w:pPr>
    <w:r>
      <w:rPr>
        <w:noProof/>
      </w:rPr>
      <w:drawing>
        <wp:inline distT="0" distB="0" distL="0" distR="0" wp14:anchorId="0FE96AB5" wp14:editId="08AF5323">
          <wp:extent cx="794479" cy="477328"/>
          <wp:effectExtent l="0" t="0" r="5715" b="0"/>
          <wp:docPr id="1274223711"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223711" name="Picture 2"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0283" cy="4928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677F9"/>
    <w:multiLevelType w:val="hybridMultilevel"/>
    <w:tmpl w:val="A0AA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7105F"/>
    <w:multiLevelType w:val="hybridMultilevel"/>
    <w:tmpl w:val="3B3A8C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71687"/>
    <w:multiLevelType w:val="hybridMultilevel"/>
    <w:tmpl w:val="ECBA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00FBB"/>
    <w:multiLevelType w:val="hybridMultilevel"/>
    <w:tmpl w:val="6F5A60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430503"/>
    <w:multiLevelType w:val="multilevel"/>
    <w:tmpl w:val="4F504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F5"/>
    <w:rsid w:val="0000105A"/>
    <w:rsid w:val="0000158D"/>
    <w:rsid w:val="00001608"/>
    <w:rsid w:val="000067E6"/>
    <w:rsid w:val="00010BF2"/>
    <w:rsid w:val="00023DD2"/>
    <w:rsid w:val="00042D93"/>
    <w:rsid w:val="00043911"/>
    <w:rsid w:val="0004735E"/>
    <w:rsid w:val="000704D3"/>
    <w:rsid w:val="0007263F"/>
    <w:rsid w:val="0009130F"/>
    <w:rsid w:val="00094197"/>
    <w:rsid w:val="00097A10"/>
    <w:rsid w:val="000A5B72"/>
    <w:rsid w:val="000B1A7A"/>
    <w:rsid w:val="000B3E9E"/>
    <w:rsid w:val="000C1BB8"/>
    <w:rsid w:val="000C61AE"/>
    <w:rsid w:val="000D79F5"/>
    <w:rsid w:val="000F29B8"/>
    <w:rsid w:val="00100752"/>
    <w:rsid w:val="00103D87"/>
    <w:rsid w:val="00110A6C"/>
    <w:rsid w:val="00116208"/>
    <w:rsid w:val="00121AD7"/>
    <w:rsid w:val="00121B01"/>
    <w:rsid w:val="00123CAB"/>
    <w:rsid w:val="00135007"/>
    <w:rsid w:val="00140D08"/>
    <w:rsid w:val="001433D0"/>
    <w:rsid w:val="001668B2"/>
    <w:rsid w:val="001739E3"/>
    <w:rsid w:val="00194F1D"/>
    <w:rsid w:val="00196743"/>
    <w:rsid w:val="0019792F"/>
    <w:rsid w:val="001B2582"/>
    <w:rsid w:val="001B279F"/>
    <w:rsid w:val="001C2273"/>
    <w:rsid w:val="001C2E8F"/>
    <w:rsid w:val="001C55DE"/>
    <w:rsid w:val="001C7AB4"/>
    <w:rsid w:val="001D230F"/>
    <w:rsid w:val="001D7F1E"/>
    <w:rsid w:val="001E3746"/>
    <w:rsid w:val="001E424A"/>
    <w:rsid w:val="001F2482"/>
    <w:rsid w:val="001F24D4"/>
    <w:rsid w:val="001F3DBD"/>
    <w:rsid w:val="00211008"/>
    <w:rsid w:val="002334E1"/>
    <w:rsid w:val="002340C0"/>
    <w:rsid w:val="0023517E"/>
    <w:rsid w:val="00247693"/>
    <w:rsid w:val="00256AE5"/>
    <w:rsid w:val="002615D8"/>
    <w:rsid w:val="002671CD"/>
    <w:rsid w:val="00267B44"/>
    <w:rsid w:val="00270135"/>
    <w:rsid w:val="0027389A"/>
    <w:rsid w:val="00275AED"/>
    <w:rsid w:val="002777F8"/>
    <w:rsid w:val="00291391"/>
    <w:rsid w:val="00293BCA"/>
    <w:rsid w:val="002A0A05"/>
    <w:rsid w:val="002A270B"/>
    <w:rsid w:val="002A65B1"/>
    <w:rsid w:val="002B6A8C"/>
    <w:rsid w:val="002B79BF"/>
    <w:rsid w:val="002C2F28"/>
    <w:rsid w:val="002C6072"/>
    <w:rsid w:val="002E5574"/>
    <w:rsid w:val="002F704E"/>
    <w:rsid w:val="00300E69"/>
    <w:rsid w:val="00302B99"/>
    <w:rsid w:val="0032666E"/>
    <w:rsid w:val="00326AAD"/>
    <w:rsid w:val="00326DDC"/>
    <w:rsid w:val="00340095"/>
    <w:rsid w:val="003414BC"/>
    <w:rsid w:val="00341E1C"/>
    <w:rsid w:val="00362F8A"/>
    <w:rsid w:val="003700CB"/>
    <w:rsid w:val="0037555B"/>
    <w:rsid w:val="00381FCC"/>
    <w:rsid w:val="00386974"/>
    <w:rsid w:val="003914DB"/>
    <w:rsid w:val="003A3135"/>
    <w:rsid w:val="003A607E"/>
    <w:rsid w:val="003A7335"/>
    <w:rsid w:val="003B76B0"/>
    <w:rsid w:val="003C075D"/>
    <w:rsid w:val="003C2214"/>
    <w:rsid w:val="003D6105"/>
    <w:rsid w:val="003D7831"/>
    <w:rsid w:val="003E5A60"/>
    <w:rsid w:val="003F3845"/>
    <w:rsid w:val="004061DB"/>
    <w:rsid w:val="00414749"/>
    <w:rsid w:val="00425A3D"/>
    <w:rsid w:val="004372F1"/>
    <w:rsid w:val="0044129F"/>
    <w:rsid w:val="004423D8"/>
    <w:rsid w:val="004570A4"/>
    <w:rsid w:val="00461F42"/>
    <w:rsid w:val="00463320"/>
    <w:rsid w:val="00477305"/>
    <w:rsid w:val="00487C3E"/>
    <w:rsid w:val="00494D0F"/>
    <w:rsid w:val="00494EE6"/>
    <w:rsid w:val="0049550D"/>
    <w:rsid w:val="004B4FB5"/>
    <w:rsid w:val="004B7063"/>
    <w:rsid w:val="004C1228"/>
    <w:rsid w:val="004D67B6"/>
    <w:rsid w:val="004E46E6"/>
    <w:rsid w:val="004E66B6"/>
    <w:rsid w:val="004F6E9A"/>
    <w:rsid w:val="00500495"/>
    <w:rsid w:val="005007E0"/>
    <w:rsid w:val="00505363"/>
    <w:rsid w:val="00512CA2"/>
    <w:rsid w:val="00520EE9"/>
    <w:rsid w:val="0053581E"/>
    <w:rsid w:val="005707A4"/>
    <w:rsid w:val="00572EE8"/>
    <w:rsid w:val="00576378"/>
    <w:rsid w:val="0058119B"/>
    <w:rsid w:val="005842F9"/>
    <w:rsid w:val="00594AA9"/>
    <w:rsid w:val="005A035E"/>
    <w:rsid w:val="005C4C7A"/>
    <w:rsid w:val="005D2DB2"/>
    <w:rsid w:val="005D5167"/>
    <w:rsid w:val="005E306F"/>
    <w:rsid w:val="005E34D4"/>
    <w:rsid w:val="005F1DE5"/>
    <w:rsid w:val="005F74B1"/>
    <w:rsid w:val="00601A79"/>
    <w:rsid w:val="00604D32"/>
    <w:rsid w:val="0060577F"/>
    <w:rsid w:val="006117D6"/>
    <w:rsid w:val="00611ED4"/>
    <w:rsid w:val="006256D6"/>
    <w:rsid w:val="006308A4"/>
    <w:rsid w:val="00636D83"/>
    <w:rsid w:val="00645D13"/>
    <w:rsid w:val="00662327"/>
    <w:rsid w:val="00663C52"/>
    <w:rsid w:val="006671CF"/>
    <w:rsid w:val="00675626"/>
    <w:rsid w:val="00690B3E"/>
    <w:rsid w:val="006C4033"/>
    <w:rsid w:val="006C7FA6"/>
    <w:rsid w:val="006D10BE"/>
    <w:rsid w:val="006E3C37"/>
    <w:rsid w:val="006F2778"/>
    <w:rsid w:val="006F3FBA"/>
    <w:rsid w:val="00704163"/>
    <w:rsid w:val="0070621C"/>
    <w:rsid w:val="00715EA1"/>
    <w:rsid w:val="00716EAD"/>
    <w:rsid w:val="00717414"/>
    <w:rsid w:val="00721655"/>
    <w:rsid w:val="007245D7"/>
    <w:rsid w:val="00731044"/>
    <w:rsid w:val="00733DA9"/>
    <w:rsid w:val="00736043"/>
    <w:rsid w:val="00742327"/>
    <w:rsid w:val="00755E48"/>
    <w:rsid w:val="007603D0"/>
    <w:rsid w:val="00760EE0"/>
    <w:rsid w:val="007619D7"/>
    <w:rsid w:val="00781383"/>
    <w:rsid w:val="00790C8B"/>
    <w:rsid w:val="00797E9D"/>
    <w:rsid w:val="007A1522"/>
    <w:rsid w:val="007A6007"/>
    <w:rsid w:val="007B48CA"/>
    <w:rsid w:val="007B670F"/>
    <w:rsid w:val="007D2633"/>
    <w:rsid w:val="007D2776"/>
    <w:rsid w:val="007D2BDA"/>
    <w:rsid w:val="007D3F01"/>
    <w:rsid w:val="007D6F91"/>
    <w:rsid w:val="007E03CA"/>
    <w:rsid w:val="007E137F"/>
    <w:rsid w:val="00805AA6"/>
    <w:rsid w:val="00813039"/>
    <w:rsid w:val="00824A49"/>
    <w:rsid w:val="008252AB"/>
    <w:rsid w:val="00830623"/>
    <w:rsid w:val="00842669"/>
    <w:rsid w:val="0085036E"/>
    <w:rsid w:val="0086150A"/>
    <w:rsid w:val="00865A2E"/>
    <w:rsid w:val="00870A9C"/>
    <w:rsid w:val="00882F12"/>
    <w:rsid w:val="0088613B"/>
    <w:rsid w:val="008937CE"/>
    <w:rsid w:val="00897353"/>
    <w:rsid w:val="008A3C52"/>
    <w:rsid w:val="008B1C55"/>
    <w:rsid w:val="008B52AE"/>
    <w:rsid w:val="008B5801"/>
    <w:rsid w:val="008C178F"/>
    <w:rsid w:val="008C7B1F"/>
    <w:rsid w:val="008D3604"/>
    <w:rsid w:val="008D485D"/>
    <w:rsid w:val="008E72F8"/>
    <w:rsid w:val="008F48E0"/>
    <w:rsid w:val="009148A1"/>
    <w:rsid w:val="0092346A"/>
    <w:rsid w:val="00923EE1"/>
    <w:rsid w:val="0092669B"/>
    <w:rsid w:val="0093128B"/>
    <w:rsid w:val="00941CF3"/>
    <w:rsid w:val="00944B51"/>
    <w:rsid w:val="00945B0F"/>
    <w:rsid w:val="00952631"/>
    <w:rsid w:val="009609D1"/>
    <w:rsid w:val="00986E34"/>
    <w:rsid w:val="00987F0D"/>
    <w:rsid w:val="00992724"/>
    <w:rsid w:val="00994CD9"/>
    <w:rsid w:val="0099665E"/>
    <w:rsid w:val="009A50B9"/>
    <w:rsid w:val="009A7544"/>
    <w:rsid w:val="009B0058"/>
    <w:rsid w:val="009B046D"/>
    <w:rsid w:val="009B299D"/>
    <w:rsid w:val="009B2F41"/>
    <w:rsid w:val="009B605A"/>
    <w:rsid w:val="009B6833"/>
    <w:rsid w:val="009C70F5"/>
    <w:rsid w:val="009D5AD3"/>
    <w:rsid w:val="009D6A20"/>
    <w:rsid w:val="009E07C6"/>
    <w:rsid w:val="009E16A4"/>
    <w:rsid w:val="009E2A43"/>
    <w:rsid w:val="009E4778"/>
    <w:rsid w:val="009E4849"/>
    <w:rsid w:val="009E752B"/>
    <w:rsid w:val="009F32BD"/>
    <w:rsid w:val="009F4F05"/>
    <w:rsid w:val="009F7FAB"/>
    <w:rsid w:val="00A01843"/>
    <w:rsid w:val="00A1034D"/>
    <w:rsid w:val="00A138E7"/>
    <w:rsid w:val="00A13A49"/>
    <w:rsid w:val="00A15969"/>
    <w:rsid w:val="00A16926"/>
    <w:rsid w:val="00A2209F"/>
    <w:rsid w:val="00A2509D"/>
    <w:rsid w:val="00A3312D"/>
    <w:rsid w:val="00A44A98"/>
    <w:rsid w:val="00A44C30"/>
    <w:rsid w:val="00A45488"/>
    <w:rsid w:val="00A4722E"/>
    <w:rsid w:val="00A5662A"/>
    <w:rsid w:val="00A61239"/>
    <w:rsid w:val="00A71C06"/>
    <w:rsid w:val="00A869BC"/>
    <w:rsid w:val="00A91F1E"/>
    <w:rsid w:val="00AA08B9"/>
    <w:rsid w:val="00AA6FA8"/>
    <w:rsid w:val="00AB25E0"/>
    <w:rsid w:val="00AB7B4B"/>
    <w:rsid w:val="00AC3175"/>
    <w:rsid w:val="00AC42C5"/>
    <w:rsid w:val="00AD08B3"/>
    <w:rsid w:val="00AD5CB3"/>
    <w:rsid w:val="00AD703B"/>
    <w:rsid w:val="00AE5EB1"/>
    <w:rsid w:val="00AF06C7"/>
    <w:rsid w:val="00B04639"/>
    <w:rsid w:val="00B12967"/>
    <w:rsid w:val="00B13715"/>
    <w:rsid w:val="00B22865"/>
    <w:rsid w:val="00B33C2F"/>
    <w:rsid w:val="00B40034"/>
    <w:rsid w:val="00B4326F"/>
    <w:rsid w:val="00B51944"/>
    <w:rsid w:val="00B51B31"/>
    <w:rsid w:val="00B66F3B"/>
    <w:rsid w:val="00B70CFC"/>
    <w:rsid w:val="00BB4124"/>
    <w:rsid w:val="00BB78EE"/>
    <w:rsid w:val="00BD25D0"/>
    <w:rsid w:val="00BE0865"/>
    <w:rsid w:val="00BE1866"/>
    <w:rsid w:val="00BE2732"/>
    <w:rsid w:val="00BE2FF0"/>
    <w:rsid w:val="00BF1AB4"/>
    <w:rsid w:val="00C04BE7"/>
    <w:rsid w:val="00C12DEC"/>
    <w:rsid w:val="00C210FB"/>
    <w:rsid w:val="00C25494"/>
    <w:rsid w:val="00C35B13"/>
    <w:rsid w:val="00C511A4"/>
    <w:rsid w:val="00C75D81"/>
    <w:rsid w:val="00C76331"/>
    <w:rsid w:val="00C76ED7"/>
    <w:rsid w:val="00C806A9"/>
    <w:rsid w:val="00C82C36"/>
    <w:rsid w:val="00C8672B"/>
    <w:rsid w:val="00C9391B"/>
    <w:rsid w:val="00C93B55"/>
    <w:rsid w:val="00CB3846"/>
    <w:rsid w:val="00CB3DED"/>
    <w:rsid w:val="00CB653D"/>
    <w:rsid w:val="00CB6B15"/>
    <w:rsid w:val="00CC45E1"/>
    <w:rsid w:val="00CD5F9F"/>
    <w:rsid w:val="00CE5903"/>
    <w:rsid w:val="00CF497D"/>
    <w:rsid w:val="00CF61D9"/>
    <w:rsid w:val="00D0008E"/>
    <w:rsid w:val="00D026F2"/>
    <w:rsid w:val="00D06C50"/>
    <w:rsid w:val="00D35DBA"/>
    <w:rsid w:val="00D54725"/>
    <w:rsid w:val="00D7041E"/>
    <w:rsid w:val="00D731C7"/>
    <w:rsid w:val="00D7439E"/>
    <w:rsid w:val="00D76B89"/>
    <w:rsid w:val="00D76C8D"/>
    <w:rsid w:val="00D8077E"/>
    <w:rsid w:val="00D84AE9"/>
    <w:rsid w:val="00D8606A"/>
    <w:rsid w:val="00D9175B"/>
    <w:rsid w:val="00D97C5E"/>
    <w:rsid w:val="00DA18C6"/>
    <w:rsid w:val="00DA1E2E"/>
    <w:rsid w:val="00DA5AA9"/>
    <w:rsid w:val="00DB53ED"/>
    <w:rsid w:val="00DB701C"/>
    <w:rsid w:val="00DD01E5"/>
    <w:rsid w:val="00DD14A2"/>
    <w:rsid w:val="00DD2B45"/>
    <w:rsid w:val="00DD2F44"/>
    <w:rsid w:val="00DE3FC5"/>
    <w:rsid w:val="00DE5AFB"/>
    <w:rsid w:val="00DF26D6"/>
    <w:rsid w:val="00DF6179"/>
    <w:rsid w:val="00E03EE8"/>
    <w:rsid w:val="00E06970"/>
    <w:rsid w:val="00E10EC4"/>
    <w:rsid w:val="00E312D9"/>
    <w:rsid w:val="00E3608A"/>
    <w:rsid w:val="00E41927"/>
    <w:rsid w:val="00E41B3E"/>
    <w:rsid w:val="00E44B8F"/>
    <w:rsid w:val="00E63F9F"/>
    <w:rsid w:val="00E7190B"/>
    <w:rsid w:val="00E822A4"/>
    <w:rsid w:val="00E87B54"/>
    <w:rsid w:val="00EA0004"/>
    <w:rsid w:val="00EA1A3E"/>
    <w:rsid w:val="00EA732C"/>
    <w:rsid w:val="00EC2A63"/>
    <w:rsid w:val="00ED34D8"/>
    <w:rsid w:val="00EE3F1A"/>
    <w:rsid w:val="00EF5C0F"/>
    <w:rsid w:val="00EF65EF"/>
    <w:rsid w:val="00F171D6"/>
    <w:rsid w:val="00F22512"/>
    <w:rsid w:val="00F22638"/>
    <w:rsid w:val="00F229B0"/>
    <w:rsid w:val="00F25AC5"/>
    <w:rsid w:val="00F263E3"/>
    <w:rsid w:val="00F417AD"/>
    <w:rsid w:val="00F57F02"/>
    <w:rsid w:val="00F72D1D"/>
    <w:rsid w:val="00F73CCF"/>
    <w:rsid w:val="00F826F4"/>
    <w:rsid w:val="00F85191"/>
    <w:rsid w:val="00F865D4"/>
    <w:rsid w:val="00F92053"/>
    <w:rsid w:val="00F9332C"/>
    <w:rsid w:val="00FA1FC6"/>
    <w:rsid w:val="00FA227F"/>
    <w:rsid w:val="00FA2E3E"/>
    <w:rsid w:val="00FA466A"/>
    <w:rsid w:val="00FB08B4"/>
    <w:rsid w:val="00FB7952"/>
    <w:rsid w:val="00FC125B"/>
    <w:rsid w:val="00FE1ECF"/>
    <w:rsid w:val="00FE24D9"/>
    <w:rsid w:val="00FE38AA"/>
    <w:rsid w:val="00FF6F9B"/>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0727FD"/>
  <w15:chartTrackingRefBased/>
  <w15:docId w15:val="{E39C9140-A449-4843-AD1D-8ACC0E33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0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C70F5"/>
    <w:pPr>
      <w:ind w:left="720"/>
      <w:contextualSpacing/>
    </w:pPr>
  </w:style>
  <w:style w:type="table" w:styleId="TableGrid">
    <w:name w:val="Table Grid"/>
    <w:basedOn w:val="TableNormal"/>
    <w:uiPriority w:val="39"/>
    <w:rsid w:val="009C70F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C06"/>
    <w:pPr>
      <w:spacing w:before="100" w:beforeAutospacing="1" w:after="100" w:afterAutospacing="1"/>
    </w:pPr>
    <w:rPr>
      <w:rFonts w:ascii="Times New Roman" w:eastAsia="Times New Roman" w:hAnsi="Times New Roman" w:cs="Times New Roman"/>
    </w:rPr>
  </w:style>
  <w:style w:type="character" w:customStyle="1" w:styleId="contentpasted1">
    <w:name w:val="contentpasted1"/>
    <w:basedOn w:val="DefaultParagraphFont"/>
    <w:rsid w:val="00645D13"/>
  </w:style>
  <w:style w:type="paragraph" w:styleId="Header">
    <w:name w:val="header"/>
    <w:basedOn w:val="Normal"/>
    <w:link w:val="HeaderChar"/>
    <w:uiPriority w:val="99"/>
    <w:unhideWhenUsed/>
    <w:rsid w:val="003E5A60"/>
    <w:pPr>
      <w:tabs>
        <w:tab w:val="center" w:pos="4680"/>
        <w:tab w:val="right" w:pos="9360"/>
      </w:tabs>
    </w:pPr>
  </w:style>
  <w:style w:type="character" w:customStyle="1" w:styleId="HeaderChar">
    <w:name w:val="Header Char"/>
    <w:basedOn w:val="DefaultParagraphFont"/>
    <w:link w:val="Header"/>
    <w:uiPriority w:val="99"/>
    <w:rsid w:val="003E5A60"/>
    <w:rPr>
      <w:rFonts w:eastAsiaTheme="minorEastAsia"/>
    </w:rPr>
  </w:style>
  <w:style w:type="paragraph" w:styleId="Footer">
    <w:name w:val="footer"/>
    <w:basedOn w:val="Normal"/>
    <w:link w:val="FooterChar"/>
    <w:uiPriority w:val="99"/>
    <w:unhideWhenUsed/>
    <w:rsid w:val="003E5A60"/>
    <w:pPr>
      <w:tabs>
        <w:tab w:val="center" w:pos="4680"/>
        <w:tab w:val="right" w:pos="9360"/>
      </w:tabs>
    </w:pPr>
  </w:style>
  <w:style w:type="character" w:customStyle="1" w:styleId="FooterChar">
    <w:name w:val="Footer Char"/>
    <w:basedOn w:val="DefaultParagraphFont"/>
    <w:link w:val="Footer"/>
    <w:uiPriority w:val="99"/>
    <w:rsid w:val="003E5A6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0021">
      <w:bodyDiv w:val="1"/>
      <w:marLeft w:val="0"/>
      <w:marRight w:val="0"/>
      <w:marTop w:val="0"/>
      <w:marBottom w:val="0"/>
      <w:divBdr>
        <w:top w:val="none" w:sz="0" w:space="0" w:color="auto"/>
        <w:left w:val="none" w:sz="0" w:space="0" w:color="auto"/>
        <w:bottom w:val="none" w:sz="0" w:space="0" w:color="auto"/>
        <w:right w:val="none" w:sz="0" w:space="0" w:color="auto"/>
      </w:divBdr>
      <w:divsChild>
        <w:div w:id="2044816715">
          <w:marLeft w:val="0"/>
          <w:marRight w:val="0"/>
          <w:marTop w:val="0"/>
          <w:marBottom w:val="0"/>
          <w:divBdr>
            <w:top w:val="none" w:sz="0" w:space="0" w:color="auto"/>
            <w:left w:val="none" w:sz="0" w:space="0" w:color="auto"/>
            <w:bottom w:val="none" w:sz="0" w:space="0" w:color="auto"/>
            <w:right w:val="none" w:sz="0" w:space="0" w:color="auto"/>
          </w:divBdr>
          <w:divsChild>
            <w:div w:id="601914293">
              <w:marLeft w:val="0"/>
              <w:marRight w:val="0"/>
              <w:marTop w:val="0"/>
              <w:marBottom w:val="0"/>
              <w:divBdr>
                <w:top w:val="none" w:sz="0" w:space="0" w:color="auto"/>
                <w:left w:val="none" w:sz="0" w:space="0" w:color="auto"/>
                <w:bottom w:val="none" w:sz="0" w:space="0" w:color="auto"/>
                <w:right w:val="none" w:sz="0" w:space="0" w:color="auto"/>
              </w:divBdr>
              <w:divsChild>
                <w:div w:id="18506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9761">
      <w:bodyDiv w:val="1"/>
      <w:marLeft w:val="0"/>
      <w:marRight w:val="0"/>
      <w:marTop w:val="0"/>
      <w:marBottom w:val="0"/>
      <w:divBdr>
        <w:top w:val="none" w:sz="0" w:space="0" w:color="auto"/>
        <w:left w:val="none" w:sz="0" w:space="0" w:color="auto"/>
        <w:bottom w:val="none" w:sz="0" w:space="0" w:color="auto"/>
        <w:right w:val="none" w:sz="0" w:space="0" w:color="auto"/>
      </w:divBdr>
      <w:divsChild>
        <w:div w:id="1993947177">
          <w:marLeft w:val="0"/>
          <w:marRight w:val="0"/>
          <w:marTop w:val="0"/>
          <w:marBottom w:val="0"/>
          <w:divBdr>
            <w:top w:val="none" w:sz="0" w:space="0" w:color="auto"/>
            <w:left w:val="none" w:sz="0" w:space="0" w:color="auto"/>
            <w:bottom w:val="none" w:sz="0" w:space="0" w:color="auto"/>
            <w:right w:val="none" w:sz="0" w:space="0" w:color="auto"/>
          </w:divBdr>
          <w:divsChild>
            <w:div w:id="539586668">
              <w:marLeft w:val="0"/>
              <w:marRight w:val="0"/>
              <w:marTop w:val="0"/>
              <w:marBottom w:val="0"/>
              <w:divBdr>
                <w:top w:val="none" w:sz="0" w:space="0" w:color="auto"/>
                <w:left w:val="none" w:sz="0" w:space="0" w:color="auto"/>
                <w:bottom w:val="none" w:sz="0" w:space="0" w:color="auto"/>
                <w:right w:val="none" w:sz="0" w:space="0" w:color="auto"/>
              </w:divBdr>
              <w:divsChild>
                <w:div w:id="14135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126">
      <w:bodyDiv w:val="1"/>
      <w:marLeft w:val="0"/>
      <w:marRight w:val="0"/>
      <w:marTop w:val="0"/>
      <w:marBottom w:val="0"/>
      <w:divBdr>
        <w:top w:val="none" w:sz="0" w:space="0" w:color="auto"/>
        <w:left w:val="none" w:sz="0" w:space="0" w:color="auto"/>
        <w:bottom w:val="none" w:sz="0" w:space="0" w:color="auto"/>
        <w:right w:val="none" w:sz="0" w:space="0" w:color="auto"/>
      </w:divBdr>
      <w:divsChild>
        <w:div w:id="1683165416">
          <w:marLeft w:val="0"/>
          <w:marRight w:val="0"/>
          <w:marTop w:val="0"/>
          <w:marBottom w:val="0"/>
          <w:divBdr>
            <w:top w:val="none" w:sz="0" w:space="0" w:color="auto"/>
            <w:left w:val="none" w:sz="0" w:space="0" w:color="auto"/>
            <w:bottom w:val="none" w:sz="0" w:space="0" w:color="auto"/>
            <w:right w:val="none" w:sz="0" w:space="0" w:color="auto"/>
          </w:divBdr>
          <w:divsChild>
            <w:div w:id="721487054">
              <w:marLeft w:val="0"/>
              <w:marRight w:val="0"/>
              <w:marTop w:val="0"/>
              <w:marBottom w:val="0"/>
              <w:divBdr>
                <w:top w:val="none" w:sz="0" w:space="0" w:color="auto"/>
                <w:left w:val="none" w:sz="0" w:space="0" w:color="auto"/>
                <w:bottom w:val="none" w:sz="0" w:space="0" w:color="auto"/>
                <w:right w:val="none" w:sz="0" w:space="0" w:color="auto"/>
              </w:divBdr>
              <w:divsChild>
                <w:div w:id="13233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3201">
      <w:bodyDiv w:val="1"/>
      <w:marLeft w:val="0"/>
      <w:marRight w:val="0"/>
      <w:marTop w:val="0"/>
      <w:marBottom w:val="0"/>
      <w:divBdr>
        <w:top w:val="none" w:sz="0" w:space="0" w:color="auto"/>
        <w:left w:val="none" w:sz="0" w:space="0" w:color="auto"/>
        <w:bottom w:val="none" w:sz="0" w:space="0" w:color="auto"/>
        <w:right w:val="none" w:sz="0" w:space="0" w:color="auto"/>
      </w:divBdr>
    </w:div>
    <w:div w:id="496729751">
      <w:bodyDiv w:val="1"/>
      <w:marLeft w:val="0"/>
      <w:marRight w:val="0"/>
      <w:marTop w:val="0"/>
      <w:marBottom w:val="0"/>
      <w:divBdr>
        <w:top w:val="none" w:sz="0" w:space="0" w:color="auto"/>
        <w:left w:val="none" w:sz="0" w:space="0" w:color="auto"/>
        <w:bottom w:val="none" w:sz="0" w:space="0" w:color="auto"/>
        <w:right w:val="none" w:sz="0" w:space="0" w:color="auto"/>
      </w:divBdr>
      <w:divsChild>
        <w:div w:id="1834485548">
          <w:marLeft w:val="0"/>
          <w:marRight w:val="0"/>
          <w:marTop w:val="0"/>
          <w:marBottom w:val="0"/>
          <w:divBdr>
            <w:top w:val="none" w:sz="0" w:space="0" w:color="auto"/>
            <w:left w:val="none" w:sz="0" w:space="0" w:color="auto"/>
            <w:bottom w:val="none" w:sz="0" w:space="0" w:color="auto"/>
            <w:right w:val="none" w:sz="0" w:space="0" w:color="auto"/>
          </w:divBdr>
          <w:divsChild>
            <w:div w:id="1799453167">
              <w:marLeft w:val="0"/>
              <w:marRight w:val="0"/>
              <w:marTop w:val="0"/>
              <w:marBottom w:val="0"/>
              <w:divBdr>
                <w:top w:val="none" w:sz="0" w:space="0" w:color="auto"/>
                <w:left w:val="none" w:sz="0" w:space="0" w:color="auto"/>
                <w:bottom w:val="none" w:sz="0" w:space="0" w:color="auto"/>
                <w:right w:val="none" w:sz="0" w:space="0" w:color="auto"/>
              </w:divBdr>
              <w:divsChild>
                <w:div w:id="4401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03126">
      <w:bodyDiv w:val="1"/>
      <w:marLeft w:val="0"/>
      <w:marRight w:val="0"/>
      <w:marTop w:val="0"/>
      <w:marBottom w:val="0"/>
      <w:divBdr>
        <w:top w:val="none" w:sz="0" w:space="0" w:color="auto"/>
        <w:left w:val="none" w:sz="0" w:space="0" w:color="auto"/>
        <w:bottom w:val="none" w:sz="0" w:space="0" w:color="auto"/>
        <w:right w:val="none" w:sz="0" w:space="0" w:color="auto"/>
      </w:divBdr>
      <w:divsChild>
        <w:div w:id="623461385">
          <w:marLeft w:val="0"/>
          <w:marRight w:val="0"/>
          <w:marTop w:val="0"/>
          <w:marBottom w:val="0"/>
          <w:divBdr>
            <w:top w:val="none" w:sz="0" w:space="0" w:color="auto"/>
            <w:left w:val="none" w:sz="0" w:space="0" w:color="auto"/>
            <w:bottom w:val="none" w:sz="0" w:space="0" w:color="auto"/>
            <w:right w:val="none" w:sz="0" w:space="0" w:color="auto"/>
          </w:divBdr>
          <w:divsChild>
            <w:div w:id="623737765">
              <w:marLeft w:val="0"/>
              <w:marRight w:val="0"/>
              <w:marTop w:val="0"/>
              <w:marBottom w:val="0"/>
              <w:divBdr>
                <w:top w:val="none" w:sz="0" w:space="0" w:color="auto"/>
                <w:left w:val="none" w:sz="0" w:space="0" w:color="auto"/>
                <w:bottom w:val="none" w:sz="0" w:space="0" w:color="auto"/>
                <w:right w:val="none" w:sz="0" w:space="0" w:color="auto"/>
              </w:divBdr>
              <w:divsChild>
                <w:div w:id="16443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3931">
      <w:bodyDiv w:val="1"/>
      <w:marLeft w:val="0"/>
      <w:marRight w:val="0"/>
      <w:marTop w:val="0"/>
      <w:marBottom w:val="0"/>
      <w:divBdr>
        <w:top w:val="none" w:sz="0" w:space="0" w:color="auto"/>
        <w:left w:val="none" w:sz="0" w:space="0" w:color="auto"/>
        <w:bottom w:val="none" w:sz="0" w:space="0" w:color="auto"/>
        <w:right w:val="none" w:sz="0" w:space="0" w:color="auto"/>
      </w:divBdr>
      <w:divsChild>
        <w:div w:id="396444398">
          <w:marLeft w:val="0"/>
          <w:marRight w:val="0"/>
          <w:marTop w:val="0"/>
          <w:marBottom w:val="0"/>
          <w:divBdr>
            <w:top w:val="none" w:sz="0" w:space="0" w:color="auto"/>
            <w:left w:val="none" w:sz="0" w:space="0" w:color="auto"/>
            <w:bottom w:val="none" w:sz="0" w:space="0" w:color="auto"/>
            <w:right w:val="none" w:sz="0" w:space="0" w:color="auto"/>
          </w:divBdr>
          <w:divsChild>
            <w:div w:id="796142369">
              <w:marLeft w:val="0"/>
              <w:marRight w:val="0"/>
              <w:marTop w:val="0"/>
              <w:marBottom w:val="0"/>
              <w:divBdr>
                <w:top w:val="none" w:sz="0" w:space="0" w:color="auto"/>
                <w:left w:val="none" w:sz="0" w:space="0" w:color="auto"/>
                <w:bottom w:val="none" w:sz="0" w:space="0" w:color="auto"/>
                <w:right w:val="none" w:sz="0" w:space="0" w:color="auto"/>
              </w:divBdr>
              <w:divsChild>
                <w:div w:id="16927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15278">
      <w:bodyDiv w:val="1"/>
      <w:marLeft w:val="0"/>
      <w:marRight w:val="0"/>
      <w:marTop w:val="0"/>
      <w:marBottom w:val="0"/>
      <w:divBdr>
        <w:top w:val="none" w:sz="0" w:space="0" w:color="auto"/>
        <w:left w:val="none" w:sz="0" w:space="0" w:color="auto"/>
        <w:bottom w:val="none" w:sz="0" w:space="0" w:color="auto"/>
        <w:right w:val="none" w:sz="0" w:space="0" w:color="auto"/>
      </w:divBdr>
      <w:divsChild>
        <w:div w:id="164437700">
          <w:marLeft w:val="0"/>
          <w:marRight w:val="0"/>
          <w:marTop w:val="0"/>
          <w:marBottom w:val="0"/>
          <w:divBdr>
            <w:top w:val="none" w:sz="0" w:space="0" w:color="auto"/>
            <w:left w:val="none" w:sz="0" w:space="0" w:color="auto"/>
            <w:bottom w:val="none" w:sz="0" w:space="0" w:color="auto"/>
            <w:right w:val="none" w:sz="0" w:space="0" w:color="auto"/>
          </w:divBdr>
          <w:divsChild>
            <w:div w:id="922448521">
              <w:marLeft w:val="0"/>
              <w:marRight w:val="0"/>
              <w:marTop w:val="0"/>
              <w:marBottom w:val="0"/>
              <w:divBdr>
                <w:top w:val="none" w:sz="0" w:space="0" w:color="auto"/>
                <w:left w:val="none" w:sz="0" w:space="0" w:color="auto"/>
                <w:bottom w:val="none" w:sz="0" w:space="0" w:color="auto"/>
                <w:right w:val="none" w:sz="0" w:space="0" w:color="auto"/>
              </w:divBdr>
              <w:divsChild>
                <w:div w:id="1383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9423">
      <w:bodyDiv w:val="1"/>
      <w:marLeft w:val="0"/>
      <w:marRight w:val="0"/>
      <w:marTop w:val="0"/>
      <w:marBottom w:val="0"/>
      <w:divBdr>
        <w:top w:val="none" w:sz="0" w:space="0" w:color="auto"/>
        <w:left w:val="none" w:sz="0" w:space="0" w:color="auto"/>
        <w:bottom w:val="none" w:sz="0" w:space="0" w:color="auto"/>
        <w:right w:val="none" w:sz="0" w:space="0" w:color="auto"/>
      </w:divBdr>
    </w:div>
    <w:div w:id="1349598107">
      <w:bodyDiv w:val="1"/>
      <w:marLeft w:val="0"/>
      <w:marRight w:val="0"/>
      <w:marTop w:val="0"/>
      <w:marBottom w:val="0"/>
      <w:divBdr>
        <w:top w:val="none" w:sz="0" w:space="0" w:color="auto"/>
        <w:left w:val="none" w:sz="0" w:space="0" w:color="auto"/>
        <w:bottom w:val="none" w:sz="0" w:space="0" w:color="auto"/>
        <w:right w:val="none" w:sz="0" w:space="0" w:color="auto"/>
      </w:divBdr>
    </w:div>
    <w:div w:id="1929004161">
      <w:bodyDiv w:val="1"/>
      <w:marLeft w:val="0"/>
      <w:marRight w:val="0"/>
      <w:marTop w:val="0"/>
      <w:marBottom w:val="0"/>
      <w:divBdr>
        <w:top w:val="none" w:sz="0" w:space="0" w:color="auto"/>
        <w:left w:val="none" w:sz="0" w:space="0" w:color="auto"/>
        <w:bottom w:val="none" w:sz="0" w:space="0" w:color="auto"/>
        <w:right w:val="none" w:sz="0" w:space="0" w:color="auto"/>
      </w:divBdr>
    </w:div>
    <w:div w:id="2126339180">
      <w:bodyDiv w:val="1"/>
      <w:marLeft w:val="0"/>
      <w:marRight w:val="0"/>
      <w:marTop w:val="0"/>
      <w:marBottom w:val="0"/>
      <w:divBdr>
        <w:top w:val="none" w:sz="0" w:space="0" w:color="auto"/>
        <w:left w:val="none" w:sz="0" w:space="0" w:color="auto"/>
        <w:bottom w:val="none" w:sz="0" w:space="0" w:color="auto"/>
        <w:right w:val="none" w:sz="0" w:space="0" w:color="auto"/>
      </w:divBdr>
      <w:divsChild>
        <w:div w:id="1293704712">
          <w:marLeft w:val="0"/>
          <w:marRight w:val="0"/>
          <w:marTop w:val="0"/>
          <w:marBottom w:val="0"/>
          <w:divBdr>
            <w:top w:val="none" w:sz="0" w:space="0" w:color="auto"/>
            <w:left w:val="none" w:sz="0" w:space="0" w:color="auto"/>
            <w:bottom w:val="none" w:sz="0" w:space="0" w:color="auto"/>
            <w:right w:val="none" w:sz="0" w:space="0" w:color="auto"/>
          </w:divBdr>
          <w:divsChild>
            <w:div w:id="1783451042">
              <w:marLeft w:val="0"/>
              <w:marRight w:val="0"/>
              <w:marTop w:val="0"/>
              <w:marBottom w:val="0"/>
              <w:divBdr>
                <w:top w:val="none" w:sz="0" w:space="0" w:color="auto"/>
                <w:left w:val="none" w:sz="0" w:space="0" w:color="auto"/>
                <w:bottom w:val="none" w:sz="0" w:space="0" w:color="auto"/>
                <w:right w:val="none" w:sz="0" w:space="0" w:color="auto"/>
              </w:divBdr>
              <w:divsChild>
                <w:div w:id="394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004f0f5-2dea-4dde-825c-959a2f214e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A5F20E59636A40B02BD6C2469BB42E" ma:contentTypeVersion="15" ma:contentTypeDescription="Create a new document." ma:contentTypeScope="" ma:versionID="5e82af5314c1e8c8c8c7c17c98190783">
  <xsd:schema xmlns:xsd="http://www.w3.org/2001/XMLSchema" xmlns:xs="http://www.w3.org/2001/XMLSchema" xmlns:p="http://schemas.microsoft.com/office/2006/metadata/properties" xmlns:ns3="2004f0f5-2dea-4dde-825c-959a2f214ee4" xmlns:ns4="c93d5b51-04e0-4523-9810-e72ad1e8acb2" targetNamespace="http://schemas.microsoft.com/office/2006/metadata/properties" ma:root="true" ma:fieldsID="0f7b3836c830dad10c88ed7c9db2f3dc" ns3:_="" ns4:_="">
    <xsd:import namespace="2004f0f5-2dea-4dde-825c-959a2f214ee4"/>
    <xsd:import namespace="c93d5b51-04e0-4523-9810-e72ad1e8ac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4f0f5-2dea-4dde-825c-959a2f214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d5b51-04e0-4523-9810-e72ad1e8ac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C47E7-C878-4892-98DD-C97F6D0746BC}">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93d5b51-04e0-4523-9810-e72ad1e8acb2"/>
    <ds:schemaRef ds:uri="2004f0f5-2dea-4dde-825c-959a2f214ee4"/>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F4C8681-7090-4E70-864F-7FCEDDE199A4}">
  <ds:schemaRefs>
    <ds:schemaRef ds:uri="http://schemas.microsoft.com/sharepoint/v3/contenttype/forms"/>
  </ds:schemaRefs>
</ds:datastoreItem>
</file>

<file path=customXml/itemProps3.xml><?xml version="1.0" encoding="utf-8"?>
<ds:datastoreItem xmlns:ds="http://schemas.openxmlformats.org/officeDocument/2006/customXml" ds:itemID="{296427B2-5EB3-4057-A96B-0FBE01E19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4f0f5-2dea-4dde-825c-959a2f214ee4"/>
    <ds:schemaRef ds:uri="c93d5b51-04e0-4523-9810-e72ad1e8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Geography and Global and Regional Studies, Universi</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Sharon Conley Haas</cp:lastModifiedBy>
  <cp:revision>2</cp:revision>
  <dcterms:created xsi:type="dcterms:W3CDTF">2023-09-08T14:24:00Z</dcterms:created>
  <dcterms:modified xsi:type="dcterms:W3CDTF">2023-09-08T14:24:00Z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0x01010016A5F20E59636A40B02BD6C2469BB42E</vt:lpwstr>
  </property>
</Properties>
</file>