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D8BF2" w14:textId="7427543F" w:rsidR="005023BA" w:rsidRDefault="005023BA" w:rsidP="0043449B">
      <w:pPr>
        <w:jc w:val="center"/>
        <w:rPr>
          <w:sz w:val="28"/>
          <w:szCs w:val="28"/>
        </w:rPr>
      </w:pPr>
      <w:r w:rsidRPr="00C41722">
        <w:rPr>
          <w:b/>
          <w:sz w:val="28"/>
          <w:szCs w:val="28"/>
          <w:u w:val="single"/>
        </w:rPr>
        <w:t>Opportunities to Respond (OTR)</w:t>
      </w:r>
    </w:p>
    <w:p w14:paraId="23D7DE8A" w14:textId="7837369C" w:rsidR="0043449B" w:rsidRPr="00CC5937" w:rsidRDefault="0043449B" w:rsidP="0043449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Adapted from </w:t>
      </w:r>
      <w:r w:rsidR="00CC5937" w:rsidRPr="00CC5937">
        <w:rPr>
          <w:rFonts w:ascii="Helvetica" w:hAnsi="Helvetica" w:cs="Helvetica"/>
          <w:i/>
        </w:rPr>
        <w:t>Ennis, Oakes &amp; Lane</w:t>
      </w:r>
      <w:r w:rsidR="006A77D5">
        <w:rPr>
          <w:rFonts w:ascii="Helvetica" w:hAnsi="Helvetica" w:cs="Helvetica"/>
          <w:i/>
        </w:rPr>
        <w:t>,</w:t>
      </w:r>
      <w:r w:rsidR="00CC5937" w:rsidRPr="00CC5937">
        <w:rPr>
          <w:rFonts w:ascii="Helvetica" w:hAnsi="Helvetica" w:cs="Helvetica"/>
          <w:i/>
        </w:rPr>
        <w:t xml:space="preserve"> 2016</w:t>
      </w:r>
    </w:p>
    <w:p w14:paraId="755E85D2" w14:textId="77777777" w:rsidR="00C41722" w:rsidRDefault="00C41722" w:rsidP="005023BA"/>
    <w:p w14:paraId="4640D15C" w14:textId="77777777" w:rsidR="00C41722" w:rsidRDefault="00C41722" w:rsidP="005023BA">
      <w:pPr>
        <w:rPr>
          <w:b/>
        </w:rPr>
      </w:pPr>
    </w:p>
    <w:p w14:paraId="3FAC8ADE" w14:textId="015D2520" w:rsidR="00C41722" w:rsidRPr="0043449B" w:rsidRDefault="00C41722" w:rsidP="005023BA">
      <w:pPr>
        <w:rPr>
          <w:b/>
          <w:sz w:val="28"/>
          <w:szCs w:val="28"/>
          <w:u w:val="single"/>
        </w:rPr>
      </w:pPr>
      <w:r>
        <w:rPr>
          <w:b/>
        </w:rPr>
        <w:t>What is OTR?</w:t>
      </w:r>
      <w:r w:rsidR="0043449B">
        <w:rPr>
          <w:b/>
        </w:rPr>
        <w:t xml:space="preserve"> </w:t>
      </w:r>
      <w:r w:rsidR="0043449B" w:rsidRPr="0043449B">
        <w:t>(Lane, Menzies, Ennis, &amp; Oakes, 2015):</w:t>
      </w:r>
    </w:p>
    <w:p w14:paraId="59583552" w14:textId="77777777" w:rsidR="00000000" w:rsidRPr="005023BA" w:rsidRDefault="005023BA" w:rsidP="005023BA">
      <w:pPr>
        <w:rPr>
          <w:sz w:val="28"/>
          <w:szCs w:val="28"/>
          <w:u w:val="single"/>
        </w:rPr>
      </w:pPr>
      <w:r>
        <w:t>A</w:t>
      </w:r>
      <w:r w:rsidR="004F3CC1" w:rsidRPr="005023BA">
        <w:t xml:space="preserve"> strategy for students to:</w:t>
      </w:r>
    </w:p>
    <w:p w14:paraId="2802805A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review material, acquire</w:t>
      </w:r>
      <w:r w:rsidRPr="005023BA">
        <w:t xml:space="preserve"> skill fluency </w:t>
      </w:r>
    </w:p>
    <w:p w14:paraId="0302D650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commit information to memory</w:t>
      </w:r>
    </w:p>
    <w:p w14:paraId="1EE477D5" w14:textId="77777777" w:rsidR="00C41722" w:rsidRDefault="004F3CC1" w:rsidP="005023BA">
      <w:pPr>
        <w:numPr>
          <w:ilvl w:val="0"/>
          <w:numId w:val="1"/>
        </w:numPr>
      </w:pPr>
      <w:r w:rsidRPr="005023BA">
        <w:t>increase on-task behavior and reduce misbehavior</w:t>
      </w:r>
    </w:p>
    <w:p w14:paraId="3DD5E5C5" w14:textId="77777777" w:rsidR="00C41722" w:rsidRDefault="004F3CC1" w:rsidP="005023BA">
      <w:r w:rsidRPr="005023BA">
        <w:t>Allows for frequent opportunities, within a set time period, to respond to teacher questions or prompts about targeted academic materials</w:t>
      </w:r>
    </w:p>
    <w:p w14:paraId="51DC9AAB" w14:textId="77777777" w:rsidR="00000000" w:rsidRPr="005023BA" w:rsidRDefault="004F3CC1" w:rsidP="005023BA">
      <w:r w:rsidRPr="005023BA">
        <w:t>Best used when m</w:t>
      </w:r>
      <w:r w:rsidRPr="005023BA">
        <w:t>aterial or concepts have been taught</w:t>
      </w:r>
    </w:p>
    <w:p w14:paraId="172685BD" w14:textId="77777777" w:rsidR="00000000" w:rsidRDefault="004F3CC1" w:rsidP="005023BA">
      <w:pPr>
        <w:numPr>
          <w:ilvl w:val="0"/>
          <w:numId w:val="1"/>
        </w:numPr>
      </w:pPr>
      <w:r w:rsidRPr="005023BA">
        <w:t>Promotes student engagement as they practice the information or skill</w:t>
      </w:r>
    </w:p>
    <w:p w14:paraId="3BE5618D" w14:textId="77777777" w:rsidR="005023BA" w:rsidRPr="005023BA" w:rsidRDefault="005023BA" w:rsidP="005023BA">
      <w:pPr>
        <w:ind w:left="720"/>
      </w:pPr>
    </w:p>
    <w:p w14:paraId="69DC3968" w14:textId="77777777" w:rsidR="00000000" w:rsidRPr="00C41722" w:rsidRDefault="005023BA" w:rsidP="005023BA">
      <w:pPr>
        <w:rPr>
          <w:b/>
        </w:rPr>
      </w:pPr>
      <w:r w:rsidRPr="00C41722">
        <w:rPr>
          <w:b/>
        </w:rPr>
        <w:t>Verbal Responding:</w:t>
      </w:r>
    </w:p>
    <w:p w14:paraId="40934D28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Choral Response (Haydon et al., 2009)</w:t>
      </w:r>
    </w:p>
    <w:p w14:paraId="6E03D377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Every student answers question/prompt</w:t>
      </w:r>
    </w:p>
    <w:p w14:paraId="23D47791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Questioning</w:t>
      </w:r>
    </w:p>
    <w:p w14:paraId="28FBA88E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 xml:space="preserve">Think, Pair, Share </w:t>
      </w:r>
    </w:p>
    <w:p w14:paraId="597E0FE0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 xml:space="preserve">Partners </w:t>
      </w:r>
    </w:p>
    <w:p w14:paraId="5433D85E" w14:textId="77777777" w:rsidR="00C41722" w:rsidRDefault="00C41722" w:rsidP="005023BA"/>
    <w:p w14:paraId="64007FBD" w14:textId="77777777" w:rsidR="00000000" w:rsidRPr="00C41722" w:rsidRDefault="004F3CC1" w:rsidP="005023BA">
      <w:pPr>
        <w:rPr>
          <w:b/>
        </w:rPr>
      </w:pPr>
      <w:r w:rsidRPr="00C41722">
        <w:rPr>
          <w:b/>
        </w:rPr>
        <w:t>Non-Verbal Responding</w:t>
      </w:r>
      <w:r w:rsidR="005023BA" w:rsidRPr="00C41722">
        <w:rPr>
          <w:b/>
        </w:rPr>
        <w:t>:</w:t>
      </w:r>
    </w:p>
    <w:p w14:paraId="02315D97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Signal</w:t>
      </w:r>
    </w:p>
    <w:p w14:paraId="3AE01ADC" w14:textId="77777777" w:rsidR="00000000" w:rsidRPr="005023BA" w:rsidRDefault="004F3CC1" w:rsidP="005023BA">
      <w:pPr>
        <w:numPr>
          <w:ilvl w:val="1"/>
          <w:numId w:val="1"/>
        </w:numPr>
      </w:pPr>
      <w:r w:rsidRPr="005023BA">
        <w:t xml:space="preserve">Thumbs up/down </w:t>
      </w:r>
    </w:p>
    <w:p w14:paraId="42733BD2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Response Card</w:t>
      </w:r>
    </w:p>
    <w:p w14:paraId="59CAC639" w14:textId="77777777" w:rsidR="00000000" w:rsidRPr="005023BA" w:rsidRDefault="004F3CC1" w:rsidP="005023BA">
      <w:pPr>
        <w:numPr>
          <w:ilvl w:val="1"/>
          <w:numId w:val="1"/>
        </w:numPr>
      </w:pPr>
      <w:r w:rsidRPr="005023BA">
        <w:t>Agree/Disagree, A/B/C/D, True/Fal</w:t>
      </w:r>
      <w:r w:rsidRPr="005023BA">
        <w:t>se</w:t>
      </w:r>
    </w:p>
    <w:p w14:paraId="532357DD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Individual white boards</w:t>
      </w:r>
    </w:p>
    <w:p w14:paraId="0DEEAD5A" w14:textId="77777777" w:rsidR="00000000" w:rsidRPr="005023BA" w:rsidRDefault="004F3CC1" w:rsidP="005023BA">
      <w:pPr>
        <w:numPr>
          <w:ilvl w:val="0"/>
          <w:numId w:val="1"/>
        </w:numPr>
      </w:pPr>
      <w:r w:rsidRPr="005023BA">
        <w:t>Guided Notes</w:t>
      </w:r>
    </w:p>
    <w:p w14:paraId="187D1709" w14:textId="77777777" w:rsidR="00000000" w:rsidRDefault="004F3CC1" w:rsidP="005023BA">
      <w:pPr>
        <w:numPr>
          <w:ilvl w:val="0"/>
          <w:numId w:val="1"/>
        </w:numPr>
      </w:pPr>
      <w:r w:rsidRPr="005023BA">
        <w:t>Student Response Systems</w:t>
      </w:r>
      <w:r w:rsidRPr="005023BA">
        <w:t xml:space="preserve"> (Clickers; Blood &amp; </w:t>
      </w:r>
      <w:proofErr w:type="spellStart"/>
      <w:r w:rsidRPr="005023BA">
        <w:t>Gulchak</w:t>
      </w:r>
      <w:proofErr w:type="spellEnd"/>
      <w:r w:rsidRPr="005023BA">
        <w:t>, 2013)</w:t>
      </w:r>
    </w:p>
    <w:p w14:paraId="11E976BC" w14:textId="77777777" w:rsidR="005023BA" w:rsidRPr="005023BA" w:rsidRDefault="005023BA" w:rsidP="005023BA">
      <w:pPr>
        <w:ind w:left="720"/>
      </w:pPr>
    </w:p>
    <w:p w14:paraId="447CC232" w14:textId="77777777" w:rsidR="005023BA" w:rsidRPr="00C41722" w:rsidRDefault="005023BA" w:rsidP="005023BA">
      <w:pPr>
        <w:rPr>
          <w:b/>
        </w:rPr>
      </w:pPr>
      <w:r w:rsidRPr="00C41722">
        <w:rPr>
          <w:b/>
        </w:rPr>
        <w:t xml:space="preserve">Why is ORT effective? </w:t>
      </w:r>
    </w:p>
    <w:p w14:paraId="0132BEFA" w14:textId="77777777" w:rsidR="00000000" w:rsidRPr="005023BA" w:rsidRDefault="004F3CC1" w:rsidP="005023BA">
      <w:r w:rsidRPr="005023BA">
        <w:t>Whole-group OTR allows teacher to quickly determine:</w:t>
      </w:r>
    </w:p>
    <w:p w14:paraId="12D522E3" w14:textId="77777777" w:rsidR="00000000" w:rsidRPr="005023BA" w:rsidRDefault="004F3CC1" w:rsidP="005023BA">
      <w:pPr>
        <w:numPr>
          <w:ilvl w:val="0"/>
          <w:numId w:val="7"/>
        </w:numPr>
      </w:pPr>
      <w:r w:rsidRPr="005023BA">
        <w:t>students’ proficiency with the material</w:t>
      </w:r>
    </w:p>
    <w:p w14:paraId="15A81C6F" w14:textId="77777777" w:rsidR="00000000" w:rsidRPr="005023BA" w:rsidRDefault="004F3CC1" w:rsidP="005023BA">
      <w:pPr>
        <w:numPr>
          <w:ilvl w:val="0"/>
          <w:numId w:val="7"/>
        </w:numPr>
      </w:pPr>
      <w:r w:rsidRPr="005023BA">
        <w:t>if more practice is needed</w:t>
      </w:r>
    </w:p>
    <w:p w14:paraId="6D57959E" w14:textId="77777777" w:rsidR="00000000" w:rsidRPr="005023BA" w:rsidRDefault="004F3CC1" w:rsidP="005023BA">
      <w:pPr>
        <w:numPr>
          <w:ilvl w:val="0"/>
          <w:numId w:val="7"/>
        </w:numPr>
      </w:pPr>
      <w:r w:rsidRPr="005023BA">
        <w:t>which students may require more in</w:t>
      </w:r>
      <w:r w:rsidRPr="005023BA">
        <w:t>tensive supports</w:t>
      </w:r>
    </w:p>
    <w:p w14:paraId="5413B4F0" w14:textId="77777777" w:rsidR="00000000" w:rsidRPr="005023BA" w:rsidRDefault="004F3CC1" w:rsidP="005023BA">
      <w:r w:rsidRPr="005023BA">
        <w:t>Promotes fluency and automaticity, freeing students to tackle more complex concepts</w:t>
      </w:r>
    </w:p>
    <w:p w14:paraId="13113807" w14:textId="77777777" w:rsidR="00000000" w:rsidRPr="005023BA" w:rsidRDefault="004F3CC1" w:rsidP="005023BA">
      <w:r w:rsidRPr="005023BA">
        <w:t>Increases active partic</w:t>
      </w:r>
      <w:r w:rsidRPr="005023BA">
        <w:t>ipation, even during whole-group delivery</w:t>
      </w:r>
    </w:p>
    <w:p w14:paraId="169F1A0B" w14:textId="77777777" w:rsidR="00000000" w:rsidRDefault="004F3CC1" w:rsidP="005023BA">
      <w:r w:rsidRPr="005023BA">
        <w:t>Feedback is rapid and matter-of-fact, which reduces the pressure of answering correctly: “Correct” or “That is</w:t>
      </w:r>
      <w:r w:rsidR="00C41722">
        <w:t xml:space="preserve"> not correct, the answer is X” </w:t>
      </w:r>
      <w:r w:rsidRPr="005023BA">
        <w:t>(Haydo</w:t>
      </w:r>
      <w:r w:rsidRPr="005023BA">
        <w:t>n et al., 2010)</w:t>
      </w:r>
    </w:p>
    <w:p w14:paraId="70B6E5FE" w14:textId="77777777" w:rsidR="00C41722" w:rsidRDefault="00C41722" w:rsidP="005023BA"/>
    <w:p w14:paraId="3DCF7B97" w14:textId="77777777" w:rsidR="00290B24" w:rsidRDefault="00290B24" w:rsidP="00290B24">
      <w:pPr>
        <w:rPr>
          <w:b/>
        </w:rPr>
      </w:pPr>
    </w:p>
    <w:p w14:paraId="5BC5274C" w14:textId="77777777" w:rsidR="00290B24" w:rsidRDefault="00290B24" w:rsidP="00290B24">
      <w:pPr>
        <w:rPr>
          <w:b/>
        </w:rPr>
      </w:pPr>
    </w:p>
    <w:p w14:paraId="33A244D9" w14:textId="3581677A" w:rsidR="00C41722" w:rsidRPr="00290B24" w:rsidRDefault="00290B24" w:rsidP="00C41722">
      <w:bookmarkStart w:id="0" w:name="_GoBack"/>
      <w:bookmarkEnd w:id="0"/>
      <w:r w:rsidRPr="00290B24">
        <w:rPr>
          <w:b/>
        </w:rPr>
        <w:lastRenderedPageBreak/>
        <w:t xml:space="preserve">Benefits </w:t>
      </w:r>
      <w:r w:rsidRPr="00290B24">
        <w:t>(</w:t>
      </w:r>
      <w:proofErr w:type="spellStart"/>
      <w:r w:rsidRPr="00290B24">
        <w:t>Kounin</w:t>
      </w:r>
      <w:proofErr w:type="spellEnd"/>
      <w:r w:rsidRPr="00290B24">
        <w:t>, 1970; Lane, Menzies, Ennis, &amp; Oakes, 2015; Sutherland &amp; Wright, 2013; Walker &amp; Severson, 1992)</w:t>
      </w:r>
      <w:r w:rsidRPr="00290B24">
        <w:t>:</w:t>
      </w:r>
    </w:p>
    <w:p w14:paraId="7338112B" w14:textId="77777777" w:rsidR="00C41722" w:rsidRPr="005023BA" w:rsidRDefault="00C41722" w:rsidP="00C41722">
      <w:pPr>
        <w:numPr>
          <w:ilvl w:val="0"/>
          <w:numId w:val="7"/>
        </w:numPr>
      </w:pPr>
      <w:r w:rsidRPr="005023BA">
        <w:t>Instructional format that is efficient and engaging</w:t>
      </w:r>
    </w:p>
    <w:p w14:paraId="48F7A4BE" w14:textId="77777777" w:rsidR="00C41722" w:rsidRPr="005023BA" w:rsidRDefault="00C41722" w:rsidP="00C41722">
      <w:pPr>
        <w:numPr>
          <w:ilvl w:val="0"/>
          <w:numId w:val="7"/>
        </w:numPr>
      </w:pPr>
      <w:r w:rsidRPr="005023BA">
        <w:t>Facilitates participation of all students</w:t>
      </w:r>
    </w:p>
    <w:p w14:paraId="5F77EC41" w14:textId="77777777" w:rsidR="00C41722" w:rsidRPr="005023BA" w:rsidRDefault="00C41722" w:rsidP="00C41722">
      <w:pPr>
        <w:numPr>
          <w:ilvl w:val="0"/>
          <w:numId w:val="7"/>
        </w:numPr>
      </w:pPr>
      <w:r w:rsidRPr="005023BA">
        <w:t>Review of material or concepts in promoting fluency and engagement</w:t>
      </w:r>
    </w:p>
    <w:p w14:paraId="16AF74A6" w14:textId="77777777" w:rsidR="00C41722" w:rsidRPr="005023BA" w:rsidRDefault="00C41722" w:rsidP="00C41722">
      <w:pPr>
        <w:numPr>
          <w:ilvl w:val="0"/>
          <w:numId w:val="7"/>
        </w:numPr>
      </w:pPr>
      <w:r w:rsidRPr="005023BA">
        <w:t>Supports teachers in reaching levels of engagement for effective instruction – 75-80% academic engaged time</w:t>
      </w:r>
    </w:p>
    <w:p w14:paraId="641AC185" w14:textId="77777777" w:rsidR="00C41722" w:rsidRDefault="00C41722" w:rsidP="00C41722">
      <w:pPr>
        <w:numPr>
          <w:ilvl w:val="0"/>
          <w:numId w:val="7"/>
        </w:numPr>
      </w:pPr>
      <w:r w:rsidRPr="005023BA">
        <w:t>Requires relatively little preparation and can be used for a variety of lessons across all grade levels</w:t>
      </w:r>
    </w:p>
    <w:p w14:paraId="717EF483" w14:textId="77777777" w:rsidR="00C41722" w:rsidRPr="005023BA" w:rsidRDefault="00C41722" w:rsidP="00C41722">
      <w:pPr>
        <w:ind w:left="720"/>
      </w:pPr>
    </w:p>
    <w:p w14:paraId="2E7746B1" w14:textId="77777777" w:rsidR="00C41722" w:rsidRPr="00C41722" w:rsidRDefault="00C41722" w:rsidP="00C41722">
      <w:pPr>
        <w:rPr>
          <w:b/>
        </w:rPr>
      </w:pPr>
      <w:r w:rsidRPr="00C41722">
        <w:rPr>
          <w:b/>
        </w:rPr>
        <w:t xml:space="preserve">Challenges: </w:t>
      </w:r>
    </w:p>
    <w:p w14:paraId="30DFCCF1" w14:textId="77777777" w:rsidR="00C41722" w:rsidRPr="005023BA" w:rsidRDefault="00C41722" w:rsidP="00C41722">
      <w:pPr>
        <w:numPr>
          <w:ilvl w:val="0"/>
          <w:numId w:val="7"/>
        </w:numPr>
      </w:pPr>
      <w:r w:rsidRPr="005023BA">
        <w:t>Teacher’s adjustment to the rapid pacing</w:t>
      </w:r>
    </w:p>
    <w:p w14:paraId="14C60ED2" w14:textId="77777777" w:rsidR="00C41722" w:rsidRPr="005023BA" w:rsidRDefault="00C41722" w:rsidP="00C41722">
      <w:pPr>
        <w:numPr>
          <w:ilvl w:val="0"/>
          <w:numId w:val="7"/>
        </w:numPr>
      </w:pPr>
      <w:r w:rsidRPr="005023BA">
        <w:t>Preparation of sufficient number or prompts or questions as part of lesson planning</w:t>
      </w:r>
    </w:p>
    <w:p w14:paraId="0D335CE4" w14:textId="77777777" w:rsidR="00C41722" w:rsidRPr="005023BA" w:rsidRDefault="00C41722" w:rsidP="00C41722">
      <w:pPr>
        <w:numPr>
          <w:ilvl w:val="0"/>
          <w:numId w:val="7"/>
        </w:numPr>
      </w:pPr>
      <w:r w:rsidRPr="005023BA">
        <w:t>Monitoring student performance and adjusting level of difficulty for successful practice</w:t>
      </w:r>
    </w:p>
    <w:p w14:paraId="5F6EA02F" w14:textId="77777777" w:rsidR="005023BA" w:rsidRDefault="005023BA" w:rsidP="005023BA"/>
    <w:p w14:paraId="32040DD5" w14:textId="77777777" w:rsidR="005023BA" w:rsidRPr="00C41722" w:rsidRDefault="005023BA" w:rsidP="005023BA">
      <w:pPr>
        <w:rPr>
          <w:b/>
        </w:rPr>
      </w:pPr>
      <w:r w:rsidRPr="00C41722">
        <w:rPr>
          <w:b/>
        </w:rPr>
        <w:t>Research:</w:t>
      </w:r>
    </w:p>
    <w:p w14:paraId="6093674A" w14:textId="77777777" w:rsidR="00000000" w:rsidRPr="005023BA" w:rsidRDefault="004F3CC1" w:rsidP="005023BA">
      <w:pPr>
        <w:numPr>
          <w:ilvl w:val="0"/>
          <w:numId w:val="7"/>
        </w:numPr>
      </w:pPr>
      <w:r w:rsidRPr="005023BA">
        <w:t xml:space="preserve">Effectiveness demonstrated from preschool </w:t>
      </w:r>
      <w:r w:rsidRPr="005023BA">
        <w:t xml:space="preserve">(Godfrey et al., 2003) </w:t>
      </w:r>
      <w:r w:rsidRPr="005023BA">
        <w:t xml:space="preserve">to middle school </w:t>
      </w:r>
      <w:r w:rsidRPr="005023BA">
        <w:t>(Haydon &amp; Hunter, 2011)</w:t>
      </w:r>
    </w:p>
    <w:p w14:paraId="11EE6398" w14:textId="77777777" w:rsidR="00000000" w:rsidRPr="005023BA" w:rsidRDefault="004F3CC1" w:rsidP="005023BA">
      <w:pPr>
        <w:numPr>
          <w:ilvl w:val="0"/>
          <w:numId w:val="7"/>
        </w:numPr>
      </w:pPr>
      <w:r w:rsidRPr="005023BA">
        <w:t xml:space="preserve">Increasing participation in elementary and secondary classrooms </w:t>
      </w:r>
      <w:r w:rsidRPr="005023BA">
        <w:t xml:space="preserve">(Haydon &amp; Hunter, 2011; </w:t>
      </w:r>
      <w:proofErr w:type="spellStart"/>
      <w:r w:rsidRPr="005023BA">
        <w:t>Maheady</w:t>
      </w:r>
      <w:proofErr w:type="spellEnd"/>
      <w:r w:rsidRPr="005023BA">
        <w:t xml:space="preserve"> et a</w:t>
      </w:r>
      <w:r w:rsidR="005023BA">
        <w:t>l., 2002; Narayan et al., 1990;</w:t>
      </w:r>
      <w:r w:rsidRPr="005023BA">
        <w:t xml:space="preserve"> Wood et al., 2009)</w:t>
      </w:r>
    </w:p>
    <w:p w14:paraId="016F6C4E" w14:textId="77777777" w:rsidR="00000000" w:rsidRPr="005023BA" w:rsidRDefault="004F3CC1" w:rsidP="005023BA">
      <w:pPr>
        <w:numPr>
          <w:ilvl w:val="0"/>
          <w:numId w:val="7"/>
        </w:numPr>
      </w:pPr>
      <w:r w:rsidRPr="005023BA">
        <w:t xml:space="preserve">Decreasing disruptive </w:t>
      </w:r>
      <w:r w:rsidRPr="005023BA">
        <w:t xml:space="preserve">behavior in elementary classrooms </w:t>
      </w:r>
      <w:r w:rsidRPr="005023BA">
        <w:t>(Haydon et al., 2010; Haydon et al., 2009)</w:t>
      </w:r>
    </w:p>
    <w:p w14:paraId="2A9A94A6" w14:textId="77777777" w:rsidR="005023BA" w:rsidRDefault="004F3CC1" w:rsidP="00C74A08">
      <w:pPr>
        <w:numPr>
          <w:ilvl w:val="0"/>
          <w:numId w:val="7"/>
        </w:numPr>
      </w:pPr>
      <w:r w:rsidRPr="005023BA">
        <w:t>Improving academic out</w:t>
      </w:r>
      <w:r w:rsidRPr="005023BA">
        <w:t xml:space="preserve">comes for students with emotional and behavioral disorders </w:t>
      </w:r>
      <w:r w:rsidRPr="005023BA">
        <w:t>(Sutherland et al., 2003)</w:t>
      </w:r>
    </w:p>
    <w:p w14:paraId="07457382" w14:textId="77777777" w:rsidR="005023BA" w:rsidRPr="005023BA" w:rsidRDefault="005023BA" w:rsidP="005023BA">
      <w:pPr>
        <w:ind w:left="720"/>
      </w:pPr>
    </w:p>
    <w:sectPr w:rsidR="005023BA" w:rsidRPr="005023BA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C6BE" w14:textId="77777777" w:rsidR="004F3CC1" w:rsidRDefault="004F3CC1" w:rsidP="00C41722">
      <w:r>
        <w:separator/>
      </w:r>
    </w:p>
  </w:endnote>
  <w:endnote w:type="continuationSeparator" w:id="0">
    <w:p w14:paraId="4C73340A" w14:textId="77777777" w:rsidR="004F3CC1" w:rsidRDefault="004F3CC1" w:rsidP="00C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43469" w14:textId="77777777" w:rsidR="004F3CC1" w:rsidRDefault="004F3CC1" w:rsidP="00C41722">
      <w:r>
        <w:separator/>
      </w:r>
    </w:p>
  </w:footnote>
  <w:footnote w:type="continuationSeparator" w:id="0">
    <w:p w14:paraId="41D27CA9" w14:textId="77777777" w:rsidR="004F3CC1" w:rsidRDefault="004F3CC1" w:rsidP="00C4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1C7E"/>
    <w:multiLevelType w:val="hybridMultilevel"/>
    <w:tmpl w:val="845C3D4E"/>
    <w:lvl w:ilvl="0" w:tplc="5D7E1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2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5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2B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6E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49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0E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E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63633B"/>
    <w:multiLevelType w:val="hybridMultilevel"/>
    <w:tmpl w:val="241820F8"/>
    <w:lvl w:ilvl="0" w:tplc="2E90A8D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9A4FB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A8A72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11AB8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6262F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80281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CD69D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EF217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E1624F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>
    <w:nsid w:val="1A7F28EF"/>
    <w:multiLevelType w:val="hybridMultilevel"/>
    <w:tmpl w:val="0ADE3CB4"/>
    <w:lvl w:ilvl="0" w:tplc="2EE68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869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C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A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41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EB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43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C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B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67609B"/>
    <w:multiLevelType w:val="hybridMultilevel"/>
    <w:tmpl w:val="BFC67F90"/>
    <w:lvl w:ilvl="0" w:tplc="31505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4F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A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E4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42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8E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2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A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CA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9C73AF"/>
    <w:multiLevelType w:val="hybridMultilevel"/>
    <w:tmpl w:val="AEA4668E"/>
    <w:lvl w:ilvl="0" w:tplc="B30E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20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D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CC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6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4C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8A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8538D6"/>
    <w:multiLevelType w:val="hybridMultilevel"/>
    <w:tmpl w:val="82EC2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77DCE"/>
    <w:multiLevelType w:val="hybridMultilevel"/>
    <w:tmpl w:val="17766A76"/>
    <w:lvl w:ilvl="0" w:tplc="A274EB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E141D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BA81E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F5247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99624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2B862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90271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90672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002D5A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>
    <w:nsid w:val="42502F46"/>
    <w:multiLevelType w:val="hybridMultilevel"/>
    <w:tmpl w:val="B75CE518"/>
    <w:lvl w:ilvl="0" w:tplc="62561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E6A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A78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E5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C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25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C1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68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4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CF7C16"/>
    <w:multiLevelType w:val="hybridMultilevel"/>
    <w:tmpl w:val="4F0E5DF8"/>
    <w:lvl w:ilvl="0" w:tplc="854E61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FEEA4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6E0B8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EE266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CDE2F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CFA4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0B667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C8C40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6FE25F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>
    <w:nsid w:val="51503689"/>
    <w:multiLevelType w:val="hybridMultilevel"/>
    <w:tmpl w:val="AD786774"/>
    <w:lvl w:ilvl="0" w:tplc="385EB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E6D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6B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E5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0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B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21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A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21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A3329F5"/>
    <w:multiLevelType w:val="hybridMultilevel"/>
    <w:tmpl w:val="C9E049C2"/>
    <w:lvl w:ilvl="0" w:tplc="0764D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59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811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1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0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E5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E1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A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E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BA"/>
    <w:rsid w:val="001F00C0"/>
    <w:rsid w:val="001F479F"/>
    <w:rsid w:val="00290B24"/>
    <w:rsid w:val="0043449B"/>
    <w:rsid w:val="004F3CC1"/>
    <w:rsid w:val="005023BA"/>
    <w:rsid w:val="006A77D5"/>
    <w:rsid w:val="00C41722"/>
    <w:rsid w:val="00CC5937"/>
    <w:rsid w:val="00F05644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AD0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3BA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023B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4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722"/>
  </w:style>
  <w:style w:type="paragraph" w:styleId="Footer">
    <w:name w:val="footer"/>
    <w:basedOn w:val="Normal"/>
    <w:link w:val="FooterChar"/>
    <w:uiPriority w:val="99"/>
    <w:unhideWhenUsed/>
    <w:rsid w:val="00C4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2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86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2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3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0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13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6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0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2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4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7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4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6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2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8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2180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5</cp:revision>
  <dcterms:created xsi:type="dcterms:W3CDTF">2016-10-19T15:07:00Z</dcterms:created>
  <dcterms:modified xsi:type="dcterms:W3CDTF">2016-10-19T15:37:00Z</dcterms:modified>
</cp:coreProperties>
</file>